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240" w:lineRule="auto"/>
              <w:jc w:val="center"/>
              <w:rPr>
                <w:rFonts w:ascii="宋体" w:hAnsi="宋体" w:cs="宋体"/>
                <w:b/>
                <w:bCs/>
              </w:rPr>
            </w:pPr>
            <w:bookmarkStart w:id="0" w:name="_GoBack"/>
            <w:r>
              <w:rPr>
                <w:rFonts w:hint="eastAsia" w:ascii="宋体" w:hAnsi="宋体" w:cs="宋体"/>
                <w:b/>
                <w:bCs/>
              </w:rPr>
              <w:t>人文与法学学院研究生学业奖学金</w:t>
            </w:r>
            <w:bookmarkEnd w:id="0"/>
            <w:r>
              <w:rPr>
                <w:rFonts w:hint="eastAsia" w:ascii="宋体" w:hAnsi="宋体" w:cs="宋体"/>
                <w:b/>
                <w:bCs/>
              </w:rPr>
              <w:t>评选实施细则(202</w:t>
            </w:r>
            <w:r>
              <w:rPr>
                <w:rFonts w:hint="eastAsia" w:ascii="宋体" w:hAnsi="宋体" w:cs="宋体"/>
                <w:b/>
                <w:bCs/>
                <w:lang w:val="en-US" w:eastAsia="zh-CN"/>
              </w:rPr>
              <w:t>3</w:t>
            </w:r>
            <w:r>
              <w:rPr>
                <w:rFonts w:hint="eastAsia" w:ascii="宋体" w:hAnsi="宋体" w:cs="宋体"/>
                <w:b/>
                <w:bCs/>
              </w:rPr>
              <w:t>年</w:t>
            </w:r>
            <w:r>
              <w:rPr>
                <w:rFonts w:hint="eastAsia" w:ascii="宋体" w:hAnsi="宋体" w:cs="宋体"/>
                <w:b/>
                <w:bCs/>
                <w:lang w:eastAsia="zh-CN"/>
              </w:rPr>
              <w:t>秋季修订</w:t>
            </w:r>
            <w:r>
              <w:rPr>
                <w:rFonts w:hint="eastAsia" w:ascii="宋体" w:hAnsi="宋体" w:cs="宋体"/>
                <w:b/>
                <w:bCs/>
              </w:rPr>
              <w:t>稿)</w:t>
            </w:r>
          </w:p>
        </w:tc>
        <w:tc>
          <w:tcPr>
            <w:tcW w:w="2500" w:type="pct"/>
            <w:vAlign w:val="center"/>
          </w:tcPr>
          <w:p>
            <w:pPr>
              <w:spacing w:line="240" w:lineRule="auto"/>
              <w:jc w:val="center"/>
              <w:rPr>
                <w:rFonts w:ascii="宋体" w:hAnsi="宋体" w:cs="宋体"/>
                <w:b/>
                <w:bCs/>
              </w:rPr>
            </w:pPr>
            <w:r>
              <w:rPr>
                <w:rFonts w:hint="eastAsia" w:ascii="宋体" w:hAnsi="宋体" w:cs="宋体"/>
                <w:b/>
                <w:bCs/>
              </w:rPr>
              <w:t>人文与法学学院研究生学业奖学金评选实施细则(2023 年修订稿)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240" w:lineRule="auto"/>
              <w:jc w:val="center"/>
              <w:rPr>
                <w:rFonts w:ascii="宋体" w:hAnsi="宋体" w:cs="宋体"/>
                <w:b/>
                <w:bCs/>
              </w:rPr>
            </w:pPr>
            <w:r>
              <w:rPr>
                <w:rFonts w:hint="eastAsia" w:ascii="宋体" w:hAnsi="宋体" w:cs="宋体"/>
                <w:b/>
                <w:bCs/>
              </w:rPr>
              <w:t>第一编 总则</w:t>
            </w:r>
          </w:p>
        </w:tc>
        <w:tc>
          <w:tcPr>
            <w:tcW w:w="2500" w:type="pct"/>
            <w:vAlign w:val="center"/>
          </w:tcPr>
          <w:p>
            <w:pPr>
              <w:spacing w:line="240" w:lineRule="auto"/>
              <w:jc w:val="center"/>
              <w:rPr>
                <w:rFonts w:ascii="宋体" w:hAnsi="宋体" w:cs="宋体"/>
                <w:b/>
                <w:bCs/>
              </w:rPr>
            </w:pPr>
            <w:r>
              <w:rPr>
                <w:rFonts w:hint="eastAsia" w:ascii="宋体" w:hAnsi="宋体" w:cs="宋体"/>
                <w:b/>
                <w:bCs/>
              </w:rPr>
              <w:t>第一部分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第一条</w:t>
            </w:r>
            <w:r>
              <w:rPr>
                <w:rFonts w:hint="eastAsia" w:ascii="仿宋" w:hAnsi="仿宋" w:eastAsia="仿宋" w:cs="仿宋"/>
              </w:rPr>
              <w:t xml:space="preserve">  为激励学生勤奋学习，在德智体美劳等方面全面发展，根据《普通高等学校学生管理规定》《华南农业大学研究生奖助体系改革方案》《华南农业大学研究生国家奖助学金实施办法》等文件精神，结合学院实际，制定</w:t>
            </w:r>
            <w:r>
              <w:rPr>
                <w:rFonts w:hint="eastAsia" w:ascii="仿宋" w:hAnsi="仿宋" w:eastAsia="仿宋" w:cs="仿宋"/>
                <w:color w:val="FF0000"/>
              </w:rPr>
              <w:t>本实施细则</w:t>
            </w:r>
            <w:r>
              <w:rPr>
                <w:rFonts w:hint="eastAsia" w:ascii="仿宋" w:hAnsi="仿宋" w:eastAsia="仿宋" w:cs="仿宋"/>
              </w:rPr>
              <w:t>。</w:t>
            </w:r>
          </w:p>
        </w:tc>
        <w:tc>
          <w:tcPr>
            <w:tcW w:w="2500" w:type="pct"/>
            <w:vAlign w:val="center"/>
          </w:tcPr>
          <w:p>
            <w:pPr>
              <w:spacing w:line="240" w:lineRule="auto"/>
              <w:ind w:firstLine="480" w:firstLineChars="200"/>
            </w:pPr>
            <w:r>
              <w:rPr>
                <w:rFonts w:hint="eastAsia" w:ascii="仿宋" w:hAnsi="仿宋" w:eastAsia="仿宋" w:cs="仿宋"/>
              </w:rPr>
              <w:t>为激励学生勤奋学习，在德智体美劳等方面全面发展，根据《普通高等学校学生管理规定》《华南农业大学研究生奖助体系改革方案》《华南农业大学研究生国家奖助学金实施办法》等文件精神，结合学院实际，制定</w:t>
            </w:r>
            <w:r>
              <w:rPr>
                <w:rFonts w:hint="eastAsia" w:ascii="仿宋" w:hAnsi="仿宋" w:eastAsia="仿宋" w:cs="仿宋"/>
                <w:strike/>
                <w:color w:val="0070C0"/>
              </w:rPr>
              <w:t>本办法</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240" w:lineRule="auto"/>
              <w:jc w:val="center"/>
              <w:rPr>
                <w:rFonts w:ascii="仿宋" w:hAnsi="仿宋" w:eastAsia="仿宋" w:cs="仿宋"/>
                <w:b/>
                <w:bCs/>
              </w:rPr>
            </w:pPr>
          </w:p>
        </w:tc>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第二部分 奖项设置和奖励标准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第二条  【评选时间】</w:t>
            </w:r>
            <w:r>
              <w:rPr>
                <w:rFonts w:hint="eastAsia" w:ascii="仿宋" w:hAnsi="仿宋" w:eastAsia="仿宋" w:cs="仿宋"/>
              </w:rPr>
              <w:t>研究生学业奖学金每年评审一次，在九月份进行。</w:t>
            </w:r>
          </w:p>
        </w:tc>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一、评选时间</w:t>
            </w:r>
          </w:p>
          <w:p>
            <w:pPr>
              <w:spacing w:line="240" w:lineRule="auto"/>
              <w:ind w:firstLine="480" w:firstLineChars="200"/>
              <w:rPr>
                <w:rFonts w:ascii="仿宋" w:hAnsi="仿宋" w:eastAsia="仿宋" w:cs="仿宋"/>
              </w:rPr>
            </w:pPr>
            <w:r>
              <w:rPr>
                <w:rFonts w:hint="eastAsia" w:ascii="仿宋" w:hAnsi="仿宋" w:eastAsia="仿宋" w:cs="仿宋"/>
              </w:rPr>
              <w:t>研究生学业奖学金每年评审一次，在</w:t>
            </w:r>
            <w:r>
              <w:rPr>
                <w:rFonts w:hint="eastAsia" w:ascii="仿宋" w:hAnsi="仿宋" w:eastAsia="仿宋" w:cs="仿宋"/>
                <w:strike/>
                <w:color w:val="0070C0"/>
              </w:rPr>
              <w:t>每年</w:t>
            </w:r>
            <w:r>
              <w:rPr>
                <w:rFonts w:hint="eastAsia" w:ascii="仿宋" w:hAnsi="仿宋" w:eastAsia="仿宋" w:cs="仿宋"/>
              </w:rPr>
              <w:t>九月份进行。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第三条  【奖项设置】</w:t>
            </w:r>
            <w:r>
              <w:rPr>
                <w:rFonts w:hint="eastAsia" w:ascii="仿宋" w:hAnsi="仿宋" w:eastAsia="仿宋" w:cs="仿宋"/>
              </w:rPr>
              <w:t>研究生学业奖学金分为硕士研究生新生学业奖学金和硕士研究生老生学业奖学金，分别设置一、二、三等奖。</w:t>
            </w:r>
          </w:p>
        </w:tc>
        <w:tc>
          <w:tcPr>
            <w:tcW w:w="2500" w:type="pct"/>
            <w:vMerge w:val="restar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二、奖项设置</w:t>
            </w:r>
          </w:p>
          <w:p>
            <w:pPr>
              <w:spacing w:line="240" w:lineRule="auto"/>
              <w:ind w:firstLine="480" w:firstLineChars="200"/>
              <w:rPr>
                <w:rFonts w:ascii="仿宋" w:hAnsi="仿宋" w:eastAsia="仿宋" w:cs="仿宋"/>
              </w:rPr>
            </w:pPr>
            <w:r>
              <w:rPr>
                <w:rFonts w:hint="eastAsia" w:ascii="仿宋" w:hAnsi="仿宋" w:eastAsia="仿宋" w:cs="仿宋"/>
              </w:rPr>
              <w:t>研究生学业奖学金分为硕士研究生新生学业奖学金和硕士研究生老生学业奖学金，分别设置一、二、三等奖。</w:t>
            </w:r>
          </w:p>
          <w:p>
            <w:pPr>
              <w:spacing w:line="240" w:lineRule="auto"/>
              <w:ind w:firstLine="480" w:firstLineChars="200"/>
              <w:rPr>
                <w:rFonts w:ascii="仿宋" w:hAnsi="仿宋" w:eastAsia="仿宋" w:cs="仿宋"/>
              </w:rPr>
            </w:pPr>
            <w:r>
              <w:rPr>
                <w:rFonts w:hint="eastAsia" w:ascii="仿宋" w:hAnsi="仿宋" w:eastAsia="仿宋" w:cs="仿宋"/>
              </w:rPr>
              <w:t>学业奖学金的奖励标准为分三档进行奖励，详见表1。</w:t>
            </w:r>
          </w:p>
          <w:p>
            <w:pPr>
              <w:spacing w:line="240" w:lineRule="auto"/>
              <w:jc w:val="center"/>
              <w:rPr>
                <w:rFonts w:ascii="仿宋" w:hAnsi="仿宋" w:eastAsia="仿宋" w:cs="仿宋"/>
              </w:rPr>
            </w:pPr>
            <w:r>
              <w:rPr>
                <w:rFonts w:hint="eastAsia" w:ascii="仿宋" w:hAnsi="仿宋" w:eastAsia="仿宋" w:cs="仿宋"/>
              </w:rPr>
              <w:t>表1 全日制研究生学业奖学金奖励标准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305"/>
              <w:gridCol w:w="987"/>
              <w:gridCol w:w="1238"/>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0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类别</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等级</w:t>
                  </w:r>
                </w:p>
              </w:tc>
              <w:tc>
                <w:tcPr>
                  <w:tcW w:w="124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比例</w:t>
                  </w:r>
                </w:p>
              </w:tc>
              <w:tc>
                <w:tcPr>
                  <w:tcW w:w="145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奖励标准</w:t>
                  </w:r>
                </w:p>
                <w:p>
                  <w:pPr>
                    <w:snapToGrid w:val="0"/>
                    <w:spacing w:line="240" w:lineRule="auto"/>
                    <w:jc w:val="center"/>
                    <w:rPr>
                      <w:rFonts w:ascii="仿宋" w:hAnsi="仿宋" w:eastAsia="仿宋"/>
                      <w:b/>
                      <w:bCs/>
                      <w:sz w:val="21"/>
                      <w:szCs w:val="21"/>
                    </w:rPr>
                  </w:pPr>
                  <w:r>
                    <w:rPr>
                      <w:rFonts w:ascii="仿宋" w:hAnsi="仿宋" w:eastAsia="仿宋"/>
                      <w:b/>
                      <w:bCs/>
                      <w:sz w:val="21"/>
                      <w:szCs w:val="21"/>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0" w:hRule="atLeast"/>
              </w:trPr>
              <w:tc>
                <w:tcPr>
                  <w:tcW w:w="1309" w:type="pct"/>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硕士研究生学业奖学金</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一等奖</w:t>
                  </w:r>
                </w:p>
              </w:tc>
              <w:tc>
                <w:tcPr>
                  <w:tcW w:w="124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20%</w:t>
                  </w:r>
                </w:p>
              </w:tc>
              <w:tc>
                <w:tcPr>
                  <w:tcW w:w="145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trPr>
              <w:tc>
                <w:tcPr>
                  <w:tcW w:w="1309" w:type="pct"/>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二等奖</w:t>
                  </w:r>
                </w:p>
              </w:tc>
              <w:tc>
                <w:tcPr>
                  <w:tcW w:w="124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30%</w:t>
                  </w:r>
                </w:p>
              </w:tc>
              <w:tc>
                <w:tcPr>
                  <w:tcW w:w="145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trPr>
              <w:tc>
                <w:tcPr>
                  <w:tcW w:w="1309" w:type="pct"/>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三等类</w:t>
                  </w:r>
                </w:p>
              </w:tc>
              <w:tc>
                <w:tcPr>
                  <w:tcW w:w="124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50%</w:t>
                  </w:r>
                </w:p>
              </w:tc>
              <w:tc>
                <w:tcPr>
                  <w:tcW w:w="145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3000</w:t>
                  </w:r>
                </w:p>
              </w:tc>
            </w:tr>
          </w:tbl>
          <w:p>
            <w:pPr>
              <w:spacing w:line="240" w:lineRule="auto"/>
              <w:ind w:firstLine="480" w:firstLineChars="200"/>
              <w:rPr>
                <w:rFonts w:ascii="仿宋" w:hAnsi="仿宋" w:eastAsia="仿宋" w:cs="仿宋"/>
              </w:rPr>
            </w:pPr>
            <w:r>
              <w:rPr>
                <w:rFonts w:hint="eastAsia" w:ascii="仿宋" w:hAnsi="仿宋" w:eastAsia="仿宋" w:cs="仿宋"/>
              </w:rPr>
              <w:t>名额以在读正常学制内全日制研究生人数为基数，以学校当年下发为准，按照规定比例以四舍五入的方法分别计算各年级、各专业获奖人数。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第四条  【奖项标准】研究生学业奖学金的奖励标准分为以下三档：</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246"/>
              <w:gridCol w:w="1246"/>
              <w:gridCol w:w="124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类别</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等级</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比例</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奖励标准</w:t>
                  </w:r>
                </w:p>
                <w:p>
                  <w:pPr>
                    <w:snapToGrid w:val="0"/>
                    <w:spacing w:line="240" w:lineRule="auto"/>
                    <w:jc w:val="center"/>
                    <w:rPr>
                      <w:rFonts w:ascii="仿宋" w:hAnsi="仿宋" w:eastAsia="仿宋"/>
                      <w:b/>
                      <w:bCs/>
                      <w:sz w:val="21"/>
                      <w:szCs w:val="21"/>
                    </w:rPr>
                  </w:pPr>
                  <w:r>
                    <w:rPr>
                      <w:rFonts w:ascii="仿宋" w:hAnsi="仿宋" w:eastAsia="仿宋"/>
                      <w:b/>
                      <w:bCs/>
                      <w:sz w:val="18"/>
                      <w:szCs w:val="18"/>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1250" w:type="pct"/>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硕士研究生</w:t>
                  </w:r>
                </w:p>
                <w:p>
                  <w:pPr>
                    <w:snapToGrid w:val="0"/>
                    <w:spacing w:line="240" w:lineRule="auto"/>
                    <w:jc w:val="center"/>
                    <w:rPr>
                      <w:rFonts w:ascii="仿宋" w:hAnsi="仿宋" w:eastAsia="仿宋"/>
                      <w:sz w:val="21"/>
                      <w:szCs w:val="21"/>
                    </w:rPr>
                  </w:pPr>
                  <w:r>
                    <w:rPr>
                      <w:rFonts w:ascii="仿宋" w:hAnsi="仿宋" w:eastAsia="仿宋"/>
                      <w:sz w:val="21"/>
                      <w:szCs w:val="21"/>
                    </w:rPr>
                    <w:t>学业奖学金</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一等奖</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20%</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1250" w:type="pct"/>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二等奖</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30%</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1250" w:type="pct"/>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三等类</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50%</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3000</w:t>
                  </w:r>
                </w:p>
              </w:tc>
            </w:tr>
          </w:tbl>
          <w:p>
            <w:pPr>
              <w:spacing w:line="240" w:lineRule="auto"/>
              <w:ind w:firstLine="480" w:firstLineChars="200"/>
              <w:rPr>
                <w:rFonts w:ascii="仿宋" w:hAnsi="仿宋" w:eastAsia="仿宋" w:cs="仿宋"/>
              </w:rPr>
            </w:pPr>
            <w:r>
              <w:rPr>
                <w:rFonts w:hint="eastAsia" w:ascii="仿宋" w:hAnsi="仿宋" w:eastAsia="仿宋" w:cs="仿宋"/>
              </w:rPr>
              <w:t>其中，获奖名额以在读正常学制内全日制研究生人数为基数，以学校当年下发为准，按照规定比例以四舍五入的方法分别计算各年级、各专业获奖人数。</w:t>
            </w:r>
          </w:p>
        </w:tc>
        <w:tc>
          <w:tcPr>
            <w:tcW w:w="2500" w:type="pct"/>
            <w:vMerge w:val="continue"/>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第一章 评选对象和申请条件</w:t>
            </w:r>
          </w:p>
        </w:tc>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第三部分 评选对象和申请条件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第五条</w:t>
            </w:r>
            <w:r>
              <w:rPr>
                <w:rFonts w:hint="eastAsia" w:ascii="仿宋" w:hAnsi="仿宋" w:eastAsia="仿宋" w:cs="仿宋"/>
              </w:rPr>
              <w:t xml:space="preserve">  </w:t>
            </w:r>
            <w:r>
              <w:rPr>
                <w:rFonts w:hint="eastAsia" w:ascii="仿宋" w:hAnsi="仿宋" w:eastAsia="仿宋" w:cs="仿宋"/>
                <w:b/>
                <w:bCs/>
              </w:rPr>
              <w:t>【评选对象】</w:t>
            </w:r>
            <w:r>
              <w:rPr>
                <w:rFonts w:hint="eastAsia" w:ascii="仿宋" w:hAnsi="仿宋" w:eastAsia="仿宋" w:cs="仿宋"/>
              </w:rPr>
              <w:t>研究生学业奖学金的评选对象为我院正常学制内的全日制研究生（外国留学生、港澳台学生除外）。</w:t>
            </w:r>
          </w:p>
        </w:tc>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一、评选对象</w:t>
            </w:r>
          </w:p>
          <w:p>
            <w:pPr>
              <w:spacing w:line="240" w:lineRule="auto"/>
              <w:ind w:firstLine="480" w:firstLineChars="200"/>
              <w:rPr>
                <w:rFonts w:ascii="仿宋" w:hAnsi="仿宋" w:eastAsia="仿宋" w:cs="仿宋"/>
              </w:rPr>
            </w:pPr>
            <w:r>
              <w:rPr>
                <w:rFonts w:hint="eastAsia" w:ascii="仿宋" w:hAnsi="仿宋" w:eastAsia="仿宋" w:cs="仿宋"/>
              </w:rPr>
              <w:t>我院正常学制内的全日制研究生（外国留学生、港澳台学生除外）。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第六条</w:t>
            </w:r>
            <w:r>
              <w:rPr>
                <w:rFonts w:hint="eastAsia" w:ascii="仿宋" w:hAnsi="仿宋" w:eastAsia="仿宋" w:cs="仿宋"/>
              </w:rPr>
              <w:t xml:space="preserve">  </w:t>
            </w:r>
            <w:r>
              <w:rPr>
                <w:rFonts w:hint="eastAsia" w:ascii="仿宋" w:hAnsi="仿宋" w:eastAsia="仿宋" w:cs="仿宋"/>
                <w:b/>
                <w:bCs/>
              </w:rPr>
              <w:t>【基本申请条件】</w:t>
            </w:r>
            <w:r>
              <w:rPr>
                <w:rFonts w:hint="eastAsia" w:ascii="仿宋" w:hAnsi="仿宋" w:eastAsia="仿宋" w:cs="仿宋"/>
              </w:rPr>
              <w:t>申请研究生学业奖学金的，须满足以下基本申请条件：</w:t>
            </w:r>
          </w:p>
          <w:p>
            <w:pPr>
              <w:spacing w:line="240" w:lineRule="auto"/>
              <w:ind w:firstLine="480" w:firstLineChars="200"/>
              <w:rPr>
                <w:rFonts w:ascii="仿宋" w:hAnsi="仿宋" w:eastAsia="仿宋" w:cs="仿宋"/>
              </w:rPr>
            </w:pPr>
            <w:r>
              <w:rPr>
                <w:rFonts w:hint="eastAsia" w:ascii="仿宋" w:hAnsi="仿宋" w:eastAsia="仿宋" w:cs="仿宋"/>
              </w:rPr>
              <w:t>（一）具有中华人民共和国国籍；</w:t>
            </w:r>
          </w:p>
          <w:p>
            <w:pPr>
              <w:spacing w:line="240" w:lineRule="auto"/>
              <w:ind w:firstLine="480" w:firstLineChars="200"/>
              <w:rPr>
                <w:rFonts w:ascii="仿宋" w:hAnsi="仿宋" w:eastAsia="仿宋" w:cs="仿宋"/>
              </w:rPr>
            </w:pPr>
            <w:r>
              <w:rPr>
                <w:rFonts w:hint="eastAsia" w:ascii="仿宋" w:hAnsi="仿宋" w:eastAsia="仿宋" w:cs="仿宋"/>
              </w:rPr>
              <w:t>（二）热爱社会主义祖国，拥护中国共产党的领导；</w:t>
            </w:r>
          </w:p>
          <w:p>
            <w:pPr>
              <w:spacing w:line="240" w:lineRule="auto"/>
              <w:ind w:firstLine="480" w:firstLineChars="200"/>
              <w:rPr>
                <w:rFonts w:ascii="仿宋" w:hAnsi="仿宋" w:eastAsia="仿宋" w:cs="仿宋"/>
              </w:rPr>
            </w:pPr>
            <w:r>
              <w:rPr>
                <w:rFonts w:hint="eastAsia" w:ascii="仿宋" w:hAnsi="仿宋" w:eastAsia="仿宋" w:cs="仿宋"/>
              </w:rPr>
              <w:t>（三）遵守宪法和法律，遵守研究生培养单位规章制度；</w:t>
            </w:r>
          </w:p>
          <w:p>
            <w:pPr>
              <w:spacing w:line="240" w:lineRule="auto"/>
              <w:ind w:firstLine="480" w:firstLineChars="200"/>
              <w:rPr>
                <w:rFonts w:ascii="仿宋" w:hAnsi="仿宋" w:eastAsia="仿宋" w:cs="仿宋"/>
              </w:rPr>
            </w:pPr>
            <w:r>
              <w:rPr>
                <w:rFonts w:hint="eastAsia" w:ascii="仿宋" w:hAnsi="仿宋" w:eastAsia="仿宋" w:cs="仿宋"/>
              </w:rPr>
              <w:t>（四）诚实守信，道德品质优良；</w:t>
            </w:r>
          </w:p>
          <w:p>
            <w:pPr>
              <w:spacing w:line="240" w:lineRule="auto"/>
              <w:ind w:firstLine="480" w:firstLineChars="200"/>
              <w:rPr>
                <w:rFonts w:ascii="仿宋" w:hAnsi="仿宋" w:eastAsia="仿宋" w:cs="仿宋"/>
              </w:rPr>
            </w:pPr>
            <w:r>
              <w:rPr>
                <w:rFonts w:hint="eastAsia" w:ascii="仿宋" w:hAnsi="仿宋" w:eastAsia="仿宋" w:cs="仿宋"/>
              </w:rPr>
              <w:t>（五）学习成绩优异，科研能力显著，发展潜力突出；</w:t>
            </w:r>
          </w:p>
          <w:p>
            <w:pPr>
              <w:spacing w:line="240" w:lineRule="auto"/>
              <w:ind w:firstLine="480" w:firstLineChars="200"/>
              <w:rPr>
                <w:rFonts w:ascii="仿宋" w:hAnsi="仿宋" w:eastAsia="仿宋" w:cs="仿宋"/>
              </w:rPr>
            </w:pPr>
            <w:r>
              <w:rPr>
                <w:rFonts w:hint="eastAsia" w:ascii="仿宋" w:hAnsi="仿宋" w:eastAsia="仿宋" w:cs="仿宋"/>
              </w:rPr>
              <w:t>（六）积极参与科学研究和社会实践；</w:t>
            </w:r>
          </w:p>
          <w:p>
            <w:pPr>
              <w:spacing w:line="240" w:lineRule="auto"/>
              <w:ind w:firstLine="480" w:firstLineChars="200"/>
              <w:rPr>
                <w:rFonts w:ascii="仿宋" w:hAnsi="仿宋" w:eastAsia="仿宋" w:cs="仿宋"/>
              </w:rPr>
            </w:pPr>
            <w:r>
              <w:rPr>
                <w:rFonts w:hint="eastAsia" w:ascii="仿宋" w:hAnsi="仿宋" w:eastAsia="仿宋" w:cs="仿宋"/>
              </w:rPr>
              <w:t>（七）勤奋学习，积极上进；</w:t>
            </w:r>
          </w:p>
          <w:p>
            <w:pPr>
              <w:spacing w:line="240" w:lineRule="auto"/>
              <w:ind w:firstLine="480" w:firstLineChars="200"/>
              <w:rPr>
                <w:rFonts w:ascii="仿宋" w:hAnsi="仿宋" w:eastAsia="仿宋" w:cs="仿宋"/>
              </w:rPr>
            </w:pPr>
            <w:r>
              <w:rPr>
                <w:rFonts w:hint="eastAsia" w:ascii="仿宋" w:hAnsi="仿宋" w:eastAsia="仿宋" w:cs="仿宋"/>
              </w:rPr>
              <w:t>（八）纳入全国研究生招生计划的全日制研究生；</w:t>
            </w:r>
          </w:p>
          <w:p>
            <w:pPr>
              <w:spacing w:line="240" w:lineRule="auto"/>
              <w:ind w:firstLine="480" w:firstLineChars="200"/>
              <w:rPr>
                <w:rFonts w:ascii="仿宋" w:hAnsi="仿宋" w:eastAsia="仿宋" w:cs="仿宋"/>
              </w:rPr>
            </w:pPr>
            <w:r>
              <w:rPr>
                <w:rFonts w:hint="eastAsia" w:ascii="仿宋" w:hAnsi="仿宋" w:eastAsia="仿宋" w:cs="仿宋"/>
              </w:rPr>
              <w:t>（九）在规定学制期内的全日制在读研究生。</w:t>
            </w:r>
          </w:p>
        </w:tc>
        <w:tc>
          <w:tcPr>
            <w:tcW w:w="2500" w:type="pct"/>
            <w:vMerge w:val="restar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二、基本申请条件</w:t>
            </w:r>
          </w:p>
          <w:p>
            <w:pPr>
              <w:spacing w:line="240" w:lineRule="auto"/>
              <w:ind w:firstLine="480" w:firstLineChars="200"/>
              <w:rPr>
                <w:rFonts w:ascii="仿宋" w:hAnsi="仿宋" w:eastAsia="仿宋" w:cs="仿宋"/>
              </w:rPr>
            </w:pPr>
            <w:r>
              <w:rPr>
                <w:rFonts w:hint="eastAsia" w:ascii="仿宋" w:hAnsi="仿宋" w:eastAsia="仿宋" w:cs="仿宋"/>
              </w:rPr>
              <w:t>（一）具有中华人民共和国国籍；</w:t>
            </w:r>
          </w:p>
          <w:p>
            <w:pPr>
              <w:spacing w:line="240" w:lineRule="auto"/>
              <w:ind w:firstLine="480" w:firstLineChars="200"/>
              <w:rPr>
                <w:rFonts w:ascii="仿宋" w:hAnsi="仿宋" w:eastAsia="仿宋" w:cs="仿宋"/>
              </w:rPr>
            </w:pPr>
            <w:r>
              <w:rPr>
                <w:rFonts w:hint="eastAsia" w:ascii="仿宋" w:hAnsi="仿宋" w:eastAsia="仿宋" w:cs="仿宋"/>
              </w:rPr>
              <w:t>（二）热爱社会主义祖国，拥护中国共产党的领导；</w:t>
            </w:r>
          </w:p>
          <w:p>
            <w:pPr>
              <w:spacing w:line="240" w:lineRule="auto"/>
              <w:ind w:firstLine="480" w:firstLineChars="200"/>
              <w:rPr>
                <w:rFonts w:ascii="仿宋" w:hAnsi="仿宋" w:eastAsia="仿宋" w:cs="仿宋"/>
              </w:rPr>
            </w:pPr>
            <w:r>
              <w:rPr>
                <w:rFonts w:hint="eastAsia" w:ascii="仿宋" w:hAnsi="仿宋" w:eastAsia="仿宋" w:cs="仿宋"/>
              </w:rPr>
              <w:t>（三）遵守宪法和法律，遵守研究生培养单位规章制度；</w:t>
            </w:r>
          </w:p>
          <w:p>
            <w:pPr>
              <w:spacing w:line="240" w:lineRule="auto"/>
              <w:ind w:firstLine="480" w:firstLineChars="200"/>
              <w:rPr>
                <w:rFonts w:ascii="仿宋" w:hAnsi="仿宋" w:eastAsia="仿宋" w:cs="仿宋"/>
              </w:rPr>
            </w:pPr>
            <w:r>
              <w:rPr>
                <w:rFonts w:hint="eastAsia" w:ascii="仿宋" w:hAnsi="仿宋" w:eastAsia="仿宋" w:cs="仿宋"/>
              </w:rPr>
              <w:t>（四）诚实守信，道德品质优良；</w:t>
            </w:r>
          </w:p>
          <w:p>
            <w:pPr>
              <w:spacing w:line="240" w:lineRule="auto"/>
              <w:ind w:firstLine="480" w:firstLineChars="200"/>
              <w:rPr>
                <w:rFonts w:ascii="仿宋" w:hAnsi="仿宋" w:eastAsia="仿宋" w:cs="仿宋"/>
              </w:rPr>
            </w:pPr>
            <w:r>
              <w:rPr>
                <w:rFonts w:hint="eastAsia" w:ascii="仿宋" w:hAnsi="仿宋" w:eastAsia="仿宋" w:cs="仿宋"/>
              </w:rPr>
              <w:t>（五）学习成绩优异，科研能力显著，发展潜力突出；</w:t>
            </w:r>
          </w:p>
          <w:p>
            <w:pPr>
              <w:spacing w:line="240" w:lineRule="auto"/>
              <w:ind w:firstLine="480" w:firstLineChars="200"/>
              <w:rPr>
                <w:rFonts w:ascii="仿宋" w:hAnsi="仿宋" w:eastAsia="仿宋" w:cs="仿宋"/>
              </w:rPr>
            </w:pPr>
            <w:r>
              <w:rPr>
                <w:rFonts w:hint="eastAsia" w:ascii="仿宋" w:hAnsi="仿宋" w:eastAsia="仿宋" w:cs="仿宋"/>
              </w:rPr>
              <w:t>（六）积极参与科学研究和社会实践；</w:t>
            </w:r>
          </w:p>
          <w:p>
            <w:pPr>
              <w:spacing w:line="240" w:lineRule="auto"/>
              <w:ind w:firstLine="480" w:firstLineChars="200"/>
              <w:rPr>
                <w:rFonts w:ascii="仿宋" w:hAnsi="仿宋" w:eastAsia="仿宋" w:cs="仿宋"/>
              </w:rPr>
            </w:pPr>
            <w:r>
              <w:rPr>
                <w:rFonts w:hint="eastAsia" w:ascii="仿宋" w:hAnsi="仿宋" w:eastAsia="仿宋" w:cs="仿宋"/>
              </w:rPr>
              <w:t>（七）勤奋学习，积极上进；</w:t>
            </w:r>
          </w:p>
          <w:p>
            <w:pPr>
              <w:spacing w:line="240" w:lineRule="auto"/>
              <w:ind w:firstLine="480" w:firstLineChars="200"/>
              <w:rPr>
                <w:rFonts w:ascii="仿宋" w:hAnsi="仿宋" w:eastAsia="仿宋" w:cs="仿宋"/>
              </w:rPr>
            </w:pPr>
            <w:r>
              <w:rPr>
                <w:rFonts w:hint="eastAsia" w:ascii="仿宋" w:hAnsi="仿宋" w:eastAsia="仿宋" w:cs="仿宋"/>
              </w:rPr>
              <w:t>（八）纳入全国研究生招生计划的全日制研究生；</w:t>
            </w:r>
          </w:p>
          <w:p>
            <w:pPr>
              <w:spacing w:line="240" w:lineRule="auto"/>
              <w:ind w:firstLine="480" w:firstLineChars="200"/>
              <w:rPr>
                <w:rFonts w:ascii="仿宋" w:hAnsi="仿宋" w:eastAsia="仿宋" w:cs="仿宋"/>
              </w:rPr>
            </w:pPr>
            <w:r>
              <w:rPr>
                <w:rFonts w:hint="eastAsia" w:ascii="仿宋" w:hAnsi="仿宋" w:eastAsia="仿宋" w:cs="仿宋"/>
              </w:rPr>
              <w:t>（九）在规定学制期内的全日制在读研究生；</w:t>
            </w:r>
          </w:p>
          <w:p>
            <w:pPr>
              <w:spacing w:line="240" w:lineRule="auto"/>
              <w:ind w:firstLine="480" w:firstLineChars="200"/>
              <w:rPr>
                <w:rFonts w:ascii="仿宋" w:hAnsi="仿宋" w:eastAsia="仿宋" w:cs="仿宋"/>
              </w:rPr>
            </w:pPr>
            <w:r>
              <w:rPr>
                <w:rFonts w:hint="eastAsia" w:ascii="仿宋" w:hAnsi="仿宋" w:eastAsia="仿宋" w:cs="仿宋"/>
              </w:rPr>
              <w:t>（十）有下列情况之一者不能申请：</w:t>
            </w:r>
          </w:p>
          <w:p>
            <w:pPr>
              <w:spacing w:line="240" w:lineRule="auto"/>
              <w:ind w:firstLine="480" w:firstLineChars="200"/>
              <w:rPr>
                <w:rFonts w:ascii="仿宋" w:hAnsi="仿宋" w:eastAsia="仿宋" w:cs="仿宋"/>
              </w:rPr>
            </w:pPr>
            <w:r>
              <w:rPr>
                <w:rFonts w:hint="eastAsia" w:ascii="仿宋" w:hAnsi="仿宋" w:eastAsia="仿宋" w:cs="仿宋"/>
              </w:rPr>
              <w:t>1.在学校规定时间内未完成注册手续；</w:t>
            </w:r>
          </w:p>
          <w:p>
            <w:pPr>
              <w:spacing w:line="240" w:lineRule="auto"/>
              <w:ind w:firstLine="480" w:firstLineChars="200"/>
              <w:rPr>
                <w:rFonts w:ascii="仿宋" w:hAnsi="仿宋" w:eastAsia="仿宋" w:cs="仿宋"/>
              </w:rPr>
            </w:pPr>
            <w:r>
              <w:rPr>
                <w:rFonts w:hint="eastAsia" w:ascii="仿宋" w:hAnsi="仿宋" w:eastAsia="仿宋" w:cs="仿宋"/>
              </w:rPr>
              <w:t>2.一年级研究生经查实在研究生入学考试中隐瞒事实或有虚假内容；</w:t>
            </w:r>
          </w:p>
          <w:p>
            <w:pPr>
              <w:spacing w:line="240" w:lineRule="auto"/>
              <w:ind w:firstLine="480" w:firstLineChars="200"/>
              <w:rPr>
                <w:rFonts w:ascii="仿宋" w:hAnsi="仿宋" w:eastAsia="仿宋" w:cs="仿宋"/>
              </w:rPr>
            </w:pPr>
            <w:r>
              <w:rPr>
                <w:rFonts w:hint="eastAsia" w:ascii="仿宋" w:hAnsi="仿宋" w:eastAsia="仿宋" w:cs="仿宋"/>
              </w:rPr>
              <w:t>3.评审年度受到学校通报批评以上（含通报批评）处理或处分；</w:t>
            </w:r>
          </w:p>
          <w:p>
            <w:pPr>
              <w:spacing w:line="240" w:lineRule="auto"/>
              <w:ind w:firstLine="480" w:firstLineChars="200"/>
              <w:rPr>
                <w:rFonts w:ascii="仿宋" w:hAnsi="仿宋" w:eastAsia="仿宋" w:cs="仿宋"/>
              </w:rPr>
            </w:pPr>
            <w:r>
              <w:rPr>
                <w:rFonts w:hint="eastAsia" w:ascii="仿宋" w:hAnsi="仿宋" w:eastAsia="仿宋" w:cs="仿宋"/>
              </w:rPr>
              <w:t>4.二年级及以上研究生参评学年度课程考试有一门以上（含一门）不及格；</w:t>
            </w:r>
          </w:p>
          <w:p>
            <w:pPr>
              <w:spacing w:line="240" w:lineRule="auto"/>
              <w:ind w:firstLine="480" w:firstLineChars="200"/>
              <w:rPr>
                <w:rFonts w:ascii="仿宋" w:hAnsi="仿宋" w:eastAsia="仿宋" w:cs="仿宋"/>
              </w:rPr>
            </w:pPr>
            <w:r>
              <w:rPr>
                <w:rFonts w:hint="eastAsia" w:ascii="仿宋" w:hAnsi="仿宋" w:eastAsia="仿宋" w:cs="仿宋"/>
              </w:rPr>
              <w:t>5.休学、保留学籍及经学校批准复学不满半年；</w:t>
            </w:r>
          </w:p>
          <w:p>
            <w:pPr>
              <w:spacing w:line="240" w:lineRule="auto"/>
              <w:ind w:firstLine="480" w:firstLineChars="200"/>
              <w:rPr>
                <w:rFonts w:ascii="仿宋" w:hAnsi="仿宋" w:eastAsia="仿宋" w:cs="仿宋"/>
              </w:rPr>
            </w:pPr>
            <w:r>
              <w:rPr>
                <w:rFonts w:hint="eastAsia" w:ascii="仿宋" w:hAnsi="仿宋" w:eastAsia="仿宋" w:cs="仿宋"/>
              </w:rPr>
              <w:t>6.申请评奖的研究成果存在明显争议；</w:t>
            </w:r>
          </w:p>
          <w:p>
            <w:pPr>
              <w:spacing w:line="240" w:lineRule="auto"/>
              <w:ind w:firstLine="480" w:firstLineChars="200"/>
              <w:rPr>
                <w:rFonts w:ascii="仿宋" w:hAnsi="仿宋" w:eastAsia="仿宋" w:cs="仿宋"/>
              </w:rPr>
            </w:pPr>
            <w:r>
              <w:rPr>
                <w:rFonts w:hint="eastAsia" w:ascii="仿宋" w:hAnsi="仿宋" w:eastAsia="仿宋" w:cs="仿宋"/>
              </w:rPr>
              <w:t>7.因各种原因退学。</w:t>
            </w:r>
          </w:p>
          <w:p>
            <w:pPr>
              <w:spacing w:line="240" w:lineRule="auto"/>
              <w:ind w:firstLine="480" w:firstLineChars="200"/>
              <w:rPr>
                <w:rFonts w:ascii="仿宋" w:hAnsi="仿宋" w:eastAsia="仿宋" w:cs="仿宋"/>
              </w:rPr>
            </w:pPr>
            <w:r>
              <w:rPr>
                <w:rFonts w:hint="eastAsia" w:ascii="仿宋" w:hAnsi="仿宋" w:eastAsia="仿宋" w:cs="仿宋"/>
              </w:rPr>
              <w:t>（十一）对在思想品德方面存在问题的学生，应予以一票否决。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第七条</w:t>
            </w:r>
            <w:r>
              <w:rPr>
                <w:rFonts w:hint="eastAsia" w:ascii="仿宋" w:hAnsi="仿宋" w:eastAsia="仿宋" w:cs="仿宋"/>
              </w:rPr>
              <w:t xml:space="preserve">  </w:t>
            </w:r>
            <w:r>
              <w:rPr>
                <w:rFonts w:hint="eastAsia" w:ascii="仿宋" w:hAnsi="仿宋" w:eastAsia="仿宋" w:cs="仿宋"/>
                <w:b/>
                <w:bCs/>
              </w:rPr>
              <w:t>【不能申请的情形】</w:t>
            </w:r>
            <w:r>
              <w:rPr>
                <w:rFonts w:hint="eastAsia" w:ascii="仿宋" w:hAnsi="仿宋" w:eastAsia="仿宋" w:cs="仿宋"/>
              </w:rPr>
              <w:t>有下列情况之一的，不能申请：</w:t>
            </w:r>
          </w:p>
          <w:p>
            <w:pPr>
              <w:spacing w:line="240" w:lineRule="auto"/>
              <w:ind w:firstLine="480" w:firstLineChars="200"/>
              <w:rPr>
                <w:rFonts w:ascii="仿宋" w:hAnsi="仿宋" w:eastAsia="仿宋" w:cs="仿宋"/>
              </w:rPr>
            </w:pPr>
            <w:r>
              <w:rPr>
                <w:rFonts w:hint="eastAsia" w:ascii="仿宋" w:hAnsi="仿宋" w:eastAsia="仿宋" w:cs="仿宋"/>
              </w:rPr>
              <w:t>（一）在学校规定时间内未完成注册手续；</w:t>
            </w:r>
          </w:p>
          <w:p>
            <w:pPr>
              <w:spacing w:line="240" w:lineRule="auto"/>
              <w:ind w:firstLine="480" w:firstLineChars="200"/>
              <w:rPr>
                <w:rFonts w:ascii="仿宋" w:hAnsi="仿宋" w:eastAsia="仿宋" w:cs="仿宋"/>
              </w:rPr>
            </w:pPr>
            <w:r>
              <w:rPr>
                <w:rFonts w:hint="eastAsia" w:ascii="仿宋" w:hAnsi="仿宋" w:eastAsia="仿宋" w:cs="仿宋"/>
              </w:rPr>
              <w:t>（二）一年级研究生经查实在研究生入学考试中隐瞒事实或有虚假内容；</w:t>
            </w:r>
          </w:p>
          <w:p>
            <w:pPr>
              <w:spacing w:line="240" w:lineRule="auto"/>
              <w:ind w:firstLine="480" w:firstLineChars="200"/>
              <w:rPr>
                <w:rFonts w:ascii="仿宋" w:hAnsi="仿宋" w:eastAsia="仿宋" w:cs="仿宋"/>
              </w:rPr>
            </w:pPr>
            <w:r>
              <w:rPr>
                <w:rFonts w:hint="eastAsia" w:ascii="仿宋" w:hAnsi="仿宋" w:eastAsia="仿宋" w:cs="仿宋"/>
              </w:rPr>
              <w:t>（三）评审年度受到学校通报批评以上（含通报批评）处理或处分；</w:t>
            </w:r>
          </w:p>
          <w:p>
            <w:pPr>
              <w:spacing w:line="240" w:lineRule="auto"/>
              <w:ind w:firstLine="480" w:firstLineChars="200"/>
              <w:rPr>
                <w:rFonts w:ascii="仿宋" w:hAnsi="仿宋" w:eastAsia="仿宋" w:cs="仿宋"/>
              </w:rPr>
            </w:pPr>
            <w:r>
              <w:rPr>
                <w:rFonts w:hint="eastAsia" w:ascii="仿宋" w:hAnsi="仿宋" w:eastAsia="仿宋" w:cs="仿宋"/>
              </w:rPr>
              <w:t>（四）二年级及以上研究生参评学年度课程考试有一门以上（含一门）不及格；</w:t>
            </w:r>
          </w:p>
          <w:p>
            <w:pPr>
              <w:spacing w:line="240" w:lineRule="auto"/>
              <w:ind w:firstLine="480" w:firstLineChars="200"/>
              <w:rPr>
                <w:rFonts w:ascii="仿宋" w:hAnsi="仿宋" w:eastAsia="仿宋" w:cs="仿宋"/>
              </w:rPr>
            </w:pPr>
            <w:r>
              <w:rPr>
                <w:rFonts w:hint="eastAsia" w:ascii="仿宋" w:hAnsi="仿宋" w:eastAsia="仿宋" w:cs="仿宋"/>
              </w:rPr>
              <w:t>（五）休学、保留学籍及经学校批准复学不满半年；</w:t>
            </w:r>
          </w:p>
          <w:p>
            <w:pPr>
              <w:spacing w:line="240" w:lineRule="auto"/>
              <w:ind w:firstLine="480" w:firstLineChars="200"/>
              <w:rPr>
                <w:rFonts w:ascii="仿宋" w:hAnsi="仿宋" w:eastAsia="仿宋" w:cs="仿宋"/>
              </w:rPr>
            </w:pPr>
            <w:r>
              <w:rPr>
                <w:rFonts w:hint="eastAsia" w:ascii="仿宋" w:hAnsi="仿宋" w:eastAsia="仿宋" w:cs="仿宋"/>
              </w:rPr>
              <w:t>（六）申请评奖的研究成果存在明显争议；</w:t>
            </w:r>
          </w:p>
          <w:p>
            <w:pPr>
              <w:spacing w:line="240" w:lineRule="auto"/>
              <w:ind w:firstLine="480" w:firstLineChars="200"/>
              <w:rPr>
                <w:rFonts w:ascii="仿宋" w:hAnsi="仿宋" w:eastAsia="仿宋" w:cs="仿宋"/>
              </w:rPr>
            </w:pPr>
            <w:r>
              <w:rPr>
                <w:rFonts w:hint="eastAsia" w:ascii="仿宋" w:hAnsi="仿宋" w:eastAsia="仿宋" w:cs="仿宋"/>
              </w:rPr>
              <w:t>（七）因各种原因退学。</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第八条</w:t>
            </w:r>
            <w:r>
              <w:rPr>
                <w:rFonts w:hint="eastAsia" w:ascii="仿宋" w:hAnsi="仿宋" w:eastAsia="仿宋" w:cs="仿宋"/>
              </w:rPr>
              <w:t xml:space="preserve">  </w:t>
            </w:r>
            <w:r>
              <w:rPr>
                <w:rFonts w:hint="eastAsia" w:ascii="仿宋" w:hAnsi="仿宋" w:eastAsia="仿宋" w:cs="仿宋"/>
                <w:b/>
                <w:bCs/>
              </w:rPr>
              <w:t>【一票否决的情形】</w:t>
            </w:r>
            <w:r>
              <w:rPr>
                <w:rFonts w:hint="eastAsia" w:ascii="仿宋" w:hAnsi="仿宋" w:eastAsia="仿宋" w:cs="仿宋"/>
              </w:rPr>
              <w:t>对在思想品德方面存在问题的学生，应予以一票否决。</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rPr>
                <w:rFonts w:ascii="仿宋" w:hAnsi="仿宋" w:eastAsia="仿宋" w:cs="仿宋"/>
                <w:b/>
                <w:bCs/>
              </w:rPr>
            </w:pPr>
          </w:p>
        </w:tc>
        <w:tc>
          <w:tcPr>
            <w:tcW w:w="2500" w:type="pct"/>
            <w:vAlign w:val="center"/>
          </w:tcPr>
          <w:p>
            <w:pPr>
              <w:spacing w:line="240" w:lineRule="auto"/>
              <w:ind w:firstLine="440" w:firstLineChars="200"/>
              <w:rPr>
                <w:rFonts w:ascii="仿宋" w:hAnsi="仿宋" w:eastAsia="仿宋" w:cs="仿宋"/>
                <w:strike/>
                <w:color w:val="0070C0"/>
                <w:sz w:val="22"/>
                <w:szCs w:val="22"/>
              </w:rPr>
            </w:pPr>
            <w:r>
              <w:rPr>
                <w:rFonts w:hint="eastAsia" w:ascii="仿宋" w:hAnsi="仿宋" w:eastAsia="仿宋" w:cs="仿宋"/>
                <w:strike/>
                <w:color w:val="0070C0"/>
                <w:sz w:val="22"/>
                <w:szCs w:val="22"/>
              </w:rPr>
              <w:t>三、具体申请条件</w:t>
            </w:r>
          </w:p>
          <w:p>
            <w:pPr>
              <w:spacing w:line="240" w:lineRule="auto"/>
              <w:ind w:firstLine="440" w:firstLineChars="200"/>
              <w:rPr>
                <w:rFonts w:ascii="仿宋" w:hAnsi="仿宋" w:eastAsia="仿宋" w:cs="仿宋"/>
                <w:strike/>
                <w:color w:val="0070C0"/>
                <w:sz w:val="22"/>
                <w:szCs w:val="22"/>
              </w:rPr>
            </w:pPr>
            <w:r>
              <w:rPr>
                <w:rFonts w:hint="eastAsia" w:ascii="仿宋" w:hAnsi="仿宋" w:eastAsia="仿宋" w:cs="仿宋"/>
                <w:strike/>
                <w:color w:val="0070C0"/>
                <w:sz w:val="22"/>
                <w:szCs w:val="22"/>
              </w:rPr>
              <w:t>(一)一年级研究生学业奖学金申请的具体条件：</w:t>
            </w:r>
          </w:p>
          <w:p>
            <w:pPr>
              <w:spacing w:line="240" w:lineRule="auto"/>
              <w:ind w:firstLine="440" w:firstLineChars="200"/>
              <w:rPr>
                <w:rFonts w:ascii="仿宋" w:hAnsi="仿宋" w:eastAsia="仿宋" w:cs="仿宋"/>
                <w:strike/>
                <w:color w:val="0070C0"/>
                <w:sz w:val="22"/>
                <w:szCs w:val="22"/>
              </w:rPr>
            </w:pPr>
            <w:r>
              <w:rPr>
                <w:rFonts w:hint="eastAsia" w:ascii="仿宋" w:hAnsi="仿宋" w:eastAsia="仿宋" w:cs="仿宋"/>
                <w:strike/>
                <w:color w:val="0070C0"/>
                <w:sz w:val="22"/>
                <w:szCs w:val="22"/>
              </w:rPr>
              <w:t>1.硕士生新生中的推免生第一学年直接获得一等奖学金；</w:t>
            </w:r>
          </w:p>
          <w:p>
            <w:pPr>
              <w:spacing w:line="240" w:lineRule="auto"/>
              <w:ind w:firstLine="440" w:firstLineChars="200"/>
              <w:rPr>
                <w:rFonts w:ascii="仿宋" w:hAnsi="仿宋" w:eastAsia="仿宋" w:cs="仿宋"/>
                <w:strike/>
                <w:color w:val="0070C0"/>
                <w:sz w:val="22"/>
                <w:szCs w:val="22"/>
              </w:rPr>
            </w:pPr>
            <w:r>
              <w:rPr>
                <w:rFonts w:hint="eastAsia" w:ascii="仿宋" w:hAnsi="仿宋" w:eastAsia="仿宋" w:cs="仿宋"/>
                <w:strike/>
                <w:color w:val="0070C0"/>
                <w:sz w:val="22"/>
                <w:szCs w:val="22"/>
              </w:rPr>
              <w:t>2.其他硕士新生根据《人文与法学学院研究生学业奖学金评选实施细则（2023年修订稿）》中的第六部分硕士研究生参评材料评分细则的硕士新生学业奖学金部分进行评定。</w:t>
            </w:r>
          </w:p>
          <w:p>
            <w:pPr>
              <w:spacing w:line="240" w:lineRule="auto"/>
              <w:ind w:firstLine="440" w:firstLineChars="200"/>
              <w:rPr>
                <w:rFonts w:ascii="仿宋" w:hAnsi="仿宋" w:eastAsia="仿宋" w:cs="仿宋"/>
                <w:strike/>
                <w:color w:val="0070C0"/>
                <w:sz w:val="22"/>
                <w:szCs w:val="22"/>
              </w:rPr>
            </w:pPr>
            <w:r>
              <w:rPr>
                <w:rFonts w:hint="eastAsia" w:ascii="仿宋" w:hAnsi="仿宋" w:eastAsia="仿宋" w:cs="仿宋"/>
                <w:strike/>
                <w:color w:val="0070C0"/>
                <w:sz w:val="22"/>
                <w:szCs w:val="22"/>
              </w:rPr>
              <w:t>（二）二年级以上（含二年级）研究生申请具体条件</w:t>
            </w:r>
          </w:p>
          <w:p>
            <w:pPr>
              <w:spacing w:line="240" w:lineRule="auto"/>
              <w:ind w:firstLine="440" w:firstLineChars="200"/>
              <w:rPr>
                <w:rFonts w:ascii="仿宋" w:hAnsi="仿宋" w:eastAsia="仿宋" w:cs="仿宋"/>
                <w:strike/>
                <w:color w:val="0070C0"/>
                <w:sz w:val="22"/>
                <w:szCs w:val="22"/>
              </w:rPr>
            </w:pPr>
            <w:r>
              <w:rPr>
                <w:rFonts w:hint="eastAsia" w:ascii="仿宋" w:hAnsi="仿宋" w:eastAsia="仿宋" w:cs="仿宋"/>
                <w:strike/>
                <w:color w:val="0070C0"/>
                <w:sz w:val="22"/>
                <w:szCs w:val="22"/>
              </w:rPr>
              <w:t>1.学习勤奋、学风严谨，修读完成培养计划的当学年课程，成绩优良，有一定的研究成果。</w:t>
            </w:r>
          </w:p>
          <w:p>
            <w:pPr>
              <w:spacing w:line="240" w:lineRule="auto"/>
              <w:ind w:firstLine="440" w:firstLineChars="200"/>
              <w:rPr>
                <w:rFonts w:ascii="仿宋" w:hAnsi="仿宋" w:eastAsia="仿宋" w:cs="仿宋"/>
                <w:sz w:val="22"/>
                <w:szCs w:val="22"/>
              </w:rPr>
            </w:pPr>
            <w:r>
              <w:rPr>
                <w:rFonts w:hint="eastAsia" w:ascii="仿宋" w:hAnsi="仿宋" w:eastAsia="仿宋" w:cs="仿宋"/>
                <w:strike/>
                <w:color w:val="0070C0"/>
                <w:sz w:val="22"/>
                <w:szCs w:val="22"/>
              </w:rPr>
              <w:t>2.二年级以上（含二年级）研究生申请学业奖学金的具体申请方法请参照《人文与法学学院研究生学业奖学金评选实施细则（2023年修订稿）》的第六部分研究生参评材料评分细则中的第二部分二年级以上（含二年级）研究生学业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第二章 评审组织与程序</w:t>
            </w:r>
          </w:p>
        </w:tc>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第四部分 评审组织与程序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第九条</w:t>
            </w:r>
            <w:r>
              <w:rPr>
                <w:rFonts w:hint="eastAsia" w:ascii="仿宋" w:hAnsi="仿宋" w:eastAsia="仿宋" w:cs="仿宋"/>
              </w:rPr>
              <w:t xml:space="preserve">  </w:t>
            </w:r>
            <w:r>
              <w:rPr>
                <w:rFonts w:hint="eastAsia" w:ascii="仿宋" w:hAnsi="仿宋" w:eastAsia="仿宋" w:cs="仿宋"/>
                <w:b/>
                <w:bCs/>
              </w:rPr>
              <w:t>【评审组织架构】</w:t>
            </w:r>
            <w:r>
              <w:rPr>
                <w:rFonts w:hint="eastAsia" w:ascii="仿宋" w:hAnsi="仿宋" w:eastAsia="仿宋" w:cs="仿宋"/>
              </w:rPr>
              <w:t>学院在每年秋季学期学生注册报到后，组建学业奖学金评审委员会、参评材料初评小组、班级奖学金评议小组。负责学院研究生学业奖学金的管理、评审及上报工作，受理申诉等事宜。</w:t>
            </w:r>
          </w:p>
        </w:tc>
        <w:tc>
          <w:tcPr>
            <w:tcW w:w="2500" w:type="pct"/>
            <w:vAlign w:val="center"/>
          </w:tcPr>
          <w:p>
            <w:pPr>
              <w:spacing w:line="240" w:lineRule="auto"/>
              <w:ind w:firstLine="480" w:firstLineChars="200"/>
              <w:rPr>
                <w:rFonts w:ascii="仿宋" w:hAnsi="仿宋" w:eastAsia="仿宋" w:cs="仿宋"/>
              </w:rPr>
            </w:pPr>
            <w:r>
              <w:rPr>
                <w:rFonts w:hint="eastAsia" w:ascii="仿宋" w:hAnsi="仿宋" w:eastAsia="仿宋" w:cs="仿宋"/>
              </w:rPr>
              <w:t>一、学院在每年秋季学期学生注册报到后，组建学业奖学金评审委员会、参评材料初评小组、班级奖学金评议小组。负责学院研究生学业奖学金的管理、评审及上报工作，受理申诉等事宜。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第十条</w:t>
            </w:r>
            <w:r>
              <w:rPr>
                <w:rFonts w:hint="eastAsia" w:ascii="仿宋" w:hAnsi="仿宋" w:eastAsia="仿宋" w:cs="仿宋"/>
              </w:rPr>
              <w:t xml:space="preserve">  </w:t>
            </w:r>
            <w:r>
              <w:rPr>
                <w:rFonts w:hint="eastAsia" w:ascii="仿宋" w:hAnsi="仿宋" w:eastAsia="仿宋" w:cs="仿宋"/>
                <w:b/>
                <w:bCs/>
              </w:rPr>
              <w:t>【学业奖学金评审委员会架构】</w:t>
            </w:r>
            <w:r>
              <w:rPr>
                <w:rFonts w:hint="eastAsia" w:ascii="仿宋" w:hAnsi="仿宋" w:eastAsia="仿宋" w:cs="仿宋"/>
              </w:rPr>
              <w:t>学院学业奖学金评审委员会由学院党委书记、学院党政领导、研究生辅导员、研究生教务员、导师代表、研究生代表等组成，其中，学院党委书记为组长。</w:t>
            </w:r>
          </w:p>
        </w:tc>
        <w:tc>
          <w:tcPr>
            <w:tcW w:w="2500" w:type="pct"/>
          </w:tcPr>
          <w:p>
            <w:pPr>
              <w:spacing w:line="240" w:lineRule="auto"/>
              <w:ind w:firstLine="480" w:firstLineChars="200"/>
              <w:rPr>
                <w:rFonts w:ascii="仿宋" w:hAnsi="仿宋" w:eastAsia="仿宋" w:cs="仿宋"/>
              </w:rPr>
            </w:pPr>
            <w:r>
              <w:rPr>
                <w:rFonts w:hint="eastAsia" w:ascii="仿宋" w:hAnsi="仿宋" w:eastAsia="仿宋" w:cs="仿宋"/>
              </w:rPr>
              <w:t>（一）学院学业奖学金评审委员会架构：</w:t>
            </w:r>
          </w:p>
          <w:p>
            <w:pPr>
              <w:spacing w:line="240" w:lineRule="auto"/>
              <w:rPr>
                <w:rFonts w:ascii="仿宋" w:hAnsi="仿宋" w:eastAsia="仿宋" w:cs="仿宋"/>
              </w:rPr>
            </w:pPr>
            <w:r>
              <w:rPr>
                <w:rFonts w:hint="eastAsia" w:ascii="仿宋" w:hAnsi="仿宋" w:eastAsia="仿宋" w:cs="仿宋"/>
              </w:rPr>
              <w:t>组长：学院党委书记</w:t>
            </w:r>
          </w:p>
          <w:p>
            <w:pPr>
              <w:spacing w:line="240" w:lineRule="auto"/>
              <w:rPr>
                <w:rFonts w:ascii="仿宋" w:hAnsi="仿宋" w:eastAsia="仿宋" w:cs="仿宋"/>
              </w:rPr>
            </w:pPr>
            <w:r>
              <w:rPr>
                <w:rFonts w:hint="eastAsia" w:ascii="仿宋" w:hAnsi="仿宋" w:eastAsia="仿宋" w:cs="仿宋"/>
              </w:rPr>
              <w:t>成员：学院党政领导、研究生辅导员、研究生教务员、导师代表、研究生代表等人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500" w:type="pct"/>
          </w:tcPr>
          <w:p>
            <w:pPr>
              <w:spacing w:line="240" w:lineRule="auto"/>
              <w:ind w:firstLine="482" w:firstLineChars="200"/>
              <w:rPr>
                <w:rFonts w:ascii="仿宋" w:hAnsi="仿宋" w:eastAsia="仿宋" w:cs="仿宋"/>
              </w:rPr>
            </w:pPr>
            <w:r>
              <w:rPr>
                <w:rFonts w:hint="eastAsia" w:ascii="仿宋" w:hAnsi="仿宋" w:eastAsia="仿宋" w:cs="仿宋"/>
                <w:b/>
                <w:bCs/>
              </w:rPr>
              <w:t>第十一条</w:t>
            </w:r>
            <w:r>
              <w:rPr>
                <w:rFonts w:hint="eastAsia" w:ascii="仿宋" w:hAnsi="仿宋" w:eastAsia="仿宋" w:cs="仿宋"/>
              </w:rPr>
              <w:t xml:space="preserve">  </w:t>
            </w:r>
            <w:r>
              <w:rPr>
                <w:rFonts w:hint="eastAsia" w:ascii="仿宋" w:hAnsi="仿宋" w:eastAsia="仿宋" w:cs="仿宋"/>
                <w:b/>
                <w:bCs/>
              </w:rPr>
              <w:t>【学院参评材料初评小组架构】</w:t>
            </w:r>
            <w:r>
              <w:rPr>
                <w:rFonts w:hint="eastAsia" w:ascii="仿宋" w:hAnsi="仿宋" w:eastAsia="仿宋" w:cs="仿宋"/>
              </w:rPr>
              <w:t>学院参评材料初评小组由学院党委副书记、研究生各班班主任、负责研究生学习工作的辅导员、团委书记、学生干部代表等组成，其中，学院党委副书记为组长。</w:t>
            </w:r>
          </w:p>
        </w:tc>
        <w:tc>
          <w:tcPr>
            <w:tcW w:w="2500" w:type="pct"/>
          </w:tcPr>
          <w:p>
            <w:pPr>
              <w:spacing w:line="240" w:lineRule="auto"/>
              <w:ind w:firstLine="480" w:firstLineChars="200"/>
              <w:rPr>
                <w:rFonts w:ascii="仿宋" w:hAnsi="仿宋" w:eastAsia="仿宋" w:cs="仿宋"/>
              </w:rPr>
            </w:pPr>
            <w:r>
              <w:rPr>
                <w:rFonts w:hint="eastAsia" w:ascii="仿宋" w:hAnsi="仿宋" w:eastAsia="仿宋" w:cs="仿宋"/>
              </w:rPr>
              <w:t>（二）学院参评材料初评小组架构：</w:t>
            </w:r>
          </w:p>
          <w:p>
            <w:pPr>
              <w:spacing w:line="240" w:lineRule="auto"/>
              <w:rPr>
                <w:rFonts w:ascii="仿宋" w:hAnsi="仿宋" w:eastAsia="仿宋" w:cs="仿宋"/>
              </w:rPr>
            </w:pPr>
            <w:r>
              <w:rPr>
                <w:rFonts w:hint="eastAsia" w:ascii="仿宋" w:hAnsi="仿宋" w:eastAsia="仿宋" w:cs="仿宋"/>
              </w:rPr>
              <w:t>组长：学院党委副书记</w:t>
            </w:r>
          </w:p>
          <w:p>
            <w:pPr>
              <w:spacing w:line="240" w:lineRule="auto"/>
              <w:rPr>
                <w:rFonts w:ascii="仿宋" w:hAnsi="仿宋" w:eastAsia="仿宋" w:cs="仿宋"/>
              </w:rPr>
            </w:pPr>
            <w:r>
              <w:rPr>
                <w:rFonts w:hint="eastAsia" w:ascii="仿宋" w:hAnsi="仿宋" w:eastAsia="仿宋" w:cs="仿宋"/>
              </w:rPr>
              <w:t>成员：研究生各班班主任、负责研究生学习工作的辅导员、团委书记、学生干部代表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第十二条</w:t>
            </w:r>
            <w:r>
              <w:rPr>
                <w:rFonts w:hint="eastAsia" w:ascii="仿宋" w:hAnsi="仿宋" w:eastAsia="仿宋" w:cs="仿宋"/>
              </w:rPr>
              <w:t xml:space="preserve">  </w:t>
            </w:r>
            <w:r>
              <w:rPr>
                <w:rFonts w:hint="eastAsia" w:ascii="仿宋" w:hAnsi="仿宋" w:eastAsia="仿宋" w:cs="仿宋"/>
                <w:b/>
                <w:bCs/>
              </w:rPr>
              <w:t>【班级学业奖学金评议小组架构】</w:t>
            </w:r>
            <w:r>
              <w:rPr>
                <w:rFonts w:hint="eastAsia" w:ascii="仿宋" w:hAnsi="仿宋" w:eastAsia="仿宋" w:cs="仿宋"/>
              </w:rPr>
              <w:t>班级学业奖学金评议小组由班长、学习委员、学生代表</w:t>
            </w:r>
            <w:r>
              <w:rPr>
                <w:rFonts w:hint="eastAsia" w:ascii="仿宋" w:hAnsi="仿宋" w:eastAsia="仿宋" w:cs="仿宋"/>
                <w:color w:val="FF0000"/>
              </w:rPr>
              <w:t>（男、女代表各至少一名）</w:t>
            </w:r>
            <w:r>
              <w:rPr>
                <w:rFonts w:hint="eastAsia" w:ascii="仿宋" w:hAnsi="仿宋" w:eastAsia="仿宋" w:cs="仿宋"/>
              </w:rPr>
              <w:t>，其中，班长为组长。</w:t>
            </w:r>
          </w:p>
        </w:tc>
        <w:tc>
          <w:tcPr>
            <w:tcW w:w="2500" w:type="pct"/>
          </w:tcPr>
          <w:p>
            <w:pPr>
              <w:spacing w:line="240" w:lineRule="auto"/>
              <w:ind w:firstLine="480" w:firstLineChars="200"/>
              <w:rPr>
                <w:rFonts w:ascii="仿宋" w:hAnsi="仿宋" w:eastAsia="仿宋" w:cs="仿宋"/>
              </w:rPr>
            </w:pPr>
            <w:r>
              <w:rPr>
                <w:rFonts w:hint="eastAsia" w:ascii="仿宋" w:hAnsi="仿宋" w:eastAsia="仿宋" w:cs="仿宋"/>
              </w:rPr>
              <w:t>（三）班级学业奖学金评议小组架构：</w:t>
            </w:r>
          </w:p>
          <w:p>
            <w:pPr>
              <w:spacing w:line="240" w:lineRule="auto"/>
              <w:rPr>
                <w:rFonts w:ascii="仿宋" w:hAnsi="仿宋" w:eastAsia="仿宋" w:cs="仿宋"/>
              </w:rPr>
            </w:pPr>
            <w:r>
              <w:rPr>
                <w:rFonts w:hint="eastAsia" w:ascii="仿宋" w:hAnsi="仿宋" w:eastAsia="仿宋" w:cs="仿宋"/>
              </w:rPr>
              <w:t>组长：班长</w:t>
            </w:r>
          </w:p>
          <w:p>
            <w:pPr>
              <w:spacing w:line="240" w:lineRule="auto"/>
              <w:rPr>
                <w:rFonts w:ascii="仿宋" w:hAnsi="仿宋" w:eastAsia="仿宋" w:cs="仿宋"/>
              </w:rPr>
            </w:pPr>
            <w:r>
              <w:rPr>
                <w:rFonts w:hint="eastAsia" w:ascii="仿宋" w:hAnsi="仿宋" w:eastAsia="仿宋" w:cs="仿宋"/>
              </w:rPr>
              <w:t>成员：学习委员、学生代表</w:t>
            </w:r>
            <w:r>
              <w:rPr>
                <w:rFonts w:hint="eastAsia" w:ascii="仿宋" w:hAnsi="仿宋" w:eastAsia="仿宋" w:cs="仿宋"/>
                <w:strike/>
                <w:color w:val="0070C0"/>
              </w:rPr>
              <w:t>（男女至少各有一名）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rPr>
                <w:rFonts w:ascii="仿宋" w:hAnsi="仿宋" w:eastAsia="仿宋" w:cs="仿宋"/>
                <w:b/>
                <w:bCs/>
              </w:rPr>
            </w:pPr>
          </w:p>
        </w:tc>
        <w:tc>
          <w:tcPr>
            <w:tcW w:w="2500" w:type="pct"/>
            <w:vAlign w:val="center"/>
          </w:tcPr>
          <w:p>
            <w:pPr>
              <w:spacing w:line="240" w:lineRule="auto"/>
              <w:ind w:firstLine="440" w:firstLineChars="200"/>
              <w:rPr>
                <w:rFonts w:ascii="仿宋" w:hAnsi="仿宋" w:eastAsia="仿宋" w:cs="仿宋"/>
              </w:rPr>
            </w:pPr>
            <w:r>
              <w:rPr>
                <w:rFonts w:hint="eastAsia" w:ascii="仿宋" w:hAnsi="仿宋" w:eastAsia="仿宋" w:cs="仿宋"/>
                <w:strike/>
                <w:color w:val="0070C0"/>
                <w:sz w:val="22"/>
                <w:szCs w:val="22"/>
              </w:rPr>
              <w:t>二、由学院参评材料初评小组发布通知，各级研究生提交加分证明材料。学生须在通知规定的截止日期前进行申报，进行不少于三个工作日的公示后，一律不再接受任何补充材料，公示结果作为后续评审的材料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2500" w:type="pct"/>
            <w:tcBorders>
              <w:bottom w:val="single" w:color="auto" w:sz="4" w:space="0"/>
            </w:tcBorders>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第十三条</w:t>
            </w:r>
            <w:r>
              <w:rPr>
                <w:rFonts w:hint="eastAsia" w:ascii="仿宋" w:hAnsi="仿宋" w:eastAsia="仿宋" w:cs="仿宋"/>
                <w:sz w:val="22"/>
                <w:szCs w:val="22"/>
              </w:rPr>
              <w:t xml:space="preserve">  </w:t>
            </w:r>
            <w:r>
              <w:rPr>
                <w:rFonts w:hint="eastAsia" w:ascii="仿宋" w:hAnsi="仿宋" w:eastAsia="仿宋" w:cs="仿宋"/>
                <w:b/>
                <w:bCs/>
                <w:sz w:val="22"/>
                <w:szCs w:val="22"/>
              </w:rPr>
              <w:t>【评审程序】</w:t>
            </w:r>
            <w:r>
              <w:rPr>
                <w:rFonts w:hint="eastAsia" w:ascii="仿宋" w:hAnsi="仿宋" w:eastAsia="仿宋" w:cs="仿宋"/>
                <w:sz w:val="22"/>
                <w:szCs w:val="22"/>
              </w:rPr>
              <w:t>研究生学业奖学金的评审按照以下程序依次进行：</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（一）个人申请。研究生本人在正常学制年限内，如实填写</w:t>
            </w:r>
            <w:r>
              <w:rPr>
                <w:rFonts w:hint="eastAsia" w:ascii="仿宋" w:hAnsi="仿宋" w:eastAsia="仿宋" w:cs="仿宋"/>
                <w:color w:val="FF0000"/>
                <w:sz w:val="22"/>
                <w:szCs w:val="22"/>
              </w:rPr>
              <w:t>并提交</w:t>
            </w:r>
            <w:r>
              <w:rPr>
                <w:rFonts w:hint="eastAsia" w:ascii="仿宋" w:hAnsi="仿宋" w:eastAsia="仿宋" w:cs="仿宋"/>
                <w:sz w:val="22"/>
                <w:szCs w:val="22"/>
              </w:rPr>
              <w:t>《华南农业大学研究生学业奖学金评审表》及</w:t>
            </w:r>
            <w:r>
              <w:rPr>
                <w:rFonts w:hint="eastAsia" w:ascii="仿宋" w:hAnsi="仿宋" w:eastAsia="仿宋" w:cs="仿宋"/>
                <w:color w:val="FF0000"/>
                <w:sz w:val="22"/>
                <w:szCs w:val="22"/>
              </w:rPr>
              <w:t>相关材料</w:t>
            </w:r>
            <w:r>
              <w:rPr>
                <w:rFonts w:hint="eastAsia" w:ascii="仿宋" w:hAnsi="仿宋" w:eastAsia="仿宋" w:cs="仿宋"/>
                <w:sz w:val="22"/>
                <w:szCs w:val="22"/>
              </w:rPr>
              <w:t>，提出申请。未按时提交申请的，视为自动放弃申请学业奖学金。</w:t>
            </w:r>
          </w:p>
          <w:p>
            <w:pPr>
              <w:spacing w:line="240" w:lineRule="auto"/>
              <w:ind w:firstLine="440" w:firstLineChars="200"/>
              <w:rPr>
                <w:rFonts w:ascii="仿宋" w:hAnsi="仿宋" w:eastAsia="仿宋" w:cs="仿宋"/>
                <w:color w:val="FF0000"/>
                <w:sz w:val="22"/>
                <w:szCs w:val="22"/>
              </w:rPr>
            </w:pPr>
            <w:r>
              <w:rPr>
                <w:rFonts w:hint="eastAsia" w:ascii="仿宋" w:hAnsi="仿宋" w:eastAsia="仿宋" w:cs="仿宋"/>
                <w:sz w:val="22"/>
                <w:szCs w:val="22"/>
              </w:rPr>
              <w:t>（二）班级审核。班级学业奖学金评议小组组织互评、审核相关材料，统计成绩，并将结果进行不少于</w:t>
            </w:r>
            <w:r>
              <w:rPr>
                <w:rFonts w:hint="eastAsia" w:ascii="仿宋" w:hAnsi="仿宋" w:eastAsia="仿宋" w:cs="仿宋"/>
                <w:color w:val="FF0000"/>
                <w:sz w:val="22"/>
                <w:szCs w:val="22"/>
              </w:rPr>
              <w:t>1日</w:t>
            </w:r>
            <w:r>
              <w:rPr>
                <w:rFonts w:hint="eastAsia" w:ascii="仿宋" w:hAnsi="仿宋" w:eastAsia="仿宋" w:cs="仿宋"/>
                <w:sz w:val="22"/>
                <w:szCs w:val="22"/>
              </w:rPr>
              <w:t>的公示，</w:t>
            </w:r>
            <w:r>
              <w:rPr>
                <w:rFonts w:hint="eastAsia" w:ascii="仿宋" w:hAnsi="仿宋" w:eastAsia="仿宋" w:cs="仿宋"/>
                <w:color w:val="FF0000"/>
                <w:sz w:val="22"/>
                <w:szCs w:val="22"/>
              </w:rPr>
              <w:t>公示结束后，班级学业奖学金评议小组将相关材料上报学院参评材料初评小组，材料提交完毕后，研究生本人不得对加分项目进行补充申报。</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（三）学院初评。按照公平公正公开的原则，由学院参评材料初评小组依据</w:t>
            </w:r>
            <w:r>
              <w:rPr>
                <w:rFonts w:hint="eastAsia" w:ascii="仿宋" w:hAnsi="仿宋" w:eastAsia="仿宋" w:cs="仿宋"/>
                <w:color w:val="FF0000"/>
                <w:sz w:val="22"/>
                <w:szCs w:val="22"/>
              </w:rPr>
              <w:t>本实施细则</w:t>
            </w:r>
            <w:r>
              <w:rPr>
                <w:rFonts w:hint="eastAsia" w:ascii="仿宋" w:hAnsi="仿宋" w:eastAsia="仿宋" w:cs="仿宋"/>
                <w:sz w:val="22"/>
                <w:szCs w:val="22"/>
              </w:rPr>
              <w:t>，对申请学业奖学金研究生材料进行初评。初评结果提交学院学业奖学金评审委员会审核后，对评审结果进行不少于3个工作日的公示，公示无异议后将相关材料和汇总表上报学校</w:t>
            </w:r>
            <w:r>
              <w:rPr>
                <w:rFonts w:hint="eastAsia" w:ascii="仿宋" w:hAnsi="仿宋" w:eastAsia="仿宋" w:cs="仿宋"/>
                <w:color w:val="FF0000"/>
                <w:sz w:val="22"/>
                <w:szCs w:val="22"/>
              </w:rPr>
              <w:t>学业奖学金</w:t>
            </w:r>
            <w:r>
              <w:rPr>
                <w:rFonts w:hint="eastAsia" w:ascii="仿宋" w:hAnsi="仿宋" w:eastAsia="仿宋" w:cs="仿宋"/>
                <w:sz w:val="22"/>
                <w:szCs w:val="22"/>
              </w:rPr>
              <w:t>评审领导小组。</w:t>
            </w:r>
          </w:p>
        </w:tc>
        <w:tc>
          <w:tcPr>
            <w:tcW w:w="2500" w:type="pct"/>
            <w:vMerge w:val="restart"/>
            <w:tcBorders>
              <w:bottom w:val="single" w:color="auto" w:sz="4" w:space="0"/>
            </w:tcBorders>
          </w:tcPr>
          <w:p>
            <w:pPr>
              <w:spacing w:line="276" w:lineRule="auto"/>
              <w:ind w:firstLine="480" w:firstLineChars="200"/>
              <w:jc w:val="left"/>
              <w:rPr>
                <w:rFonts w:ascii="仿宋" w:hAnsi="仿宋" w:eastAsia="仿宋" w:cs="仿宋"/>
              </w:rPr>
            </w:pPr>
            <w:r>
              <w:rPr>
                <w:rFonts w:hint="eastAsia" w:ascii="仿宋" w:hAnsi="仿宋" w:eastAsia="仿宋" w:cs="仿宋"/>
              </w:rPr>
              <w:t>三、研究生学业奖学金的评审程序：</w:t>
            </w:r>
          </w:p>
          <w:p>
            <w:pPr>
              <w:spacing w:line="276" w:lineRule="auto"/>
              <w:ind w:firstLine="480" w:firstLineChars="200"/>
              <w:jc w:val="left"/>
              <w:rPr>
                <w:rFonts w:ascii="仿宋" w:hAnsi="仿宋" w:eastAsia="仿宋" w:cs="仿宋"/>
              </w:rPr>
            </w:pPr>
            <w:r>
              <w:rPr>
                <w:rFonts w:hint="eastAsia" w:ascii="仿宋" w:hAnsi="仿宋" w:eastAsia="仿宋" w:cs="仿宋"/>
              </w:rPr>
              <w:t>（一）个人申请。由研究生本人在正常学制年限内，如实填写《华南农业大学研究生学业奖学金评审表》及</w:t>
            </w:r>
            <w:r>
              <w:rPr>
                <w:rFonts w:hint="eastAsia" w:ascii="仿宋" w:hAnsi="仿宋" w:eastAsia="仿宋" w:cs="仿宋"/>
                <w:strike/>
                <w:color w:val="0070C0"/>
              </w:rPr>
              <w:t>相关表格</w:t>
            </w:r>
            <w:r>
              <w:rPr>
                <w:rFonts w:hint="eastAsia" w:ascii="仿宋" w:hAnsi="仿宋" w:eastAsia="仿宋" w:cs="仿宋"/>
              </w:rPr>
              <w:t>，提出申请。未按时提交申请的，视为自动放弃申请学业奖学金。</w:t>
            </w:r>
          </w:p>
          <w:p>
            <w:pPr>
              <w:spacing w:line="276" w:lineRule="auto"/>
              <w:ind w:firstLine="480" w:firstLineChars="200"/>
              <w:jc w:val="left"/>
              <w:rPr>
                <w:rFonts w:ascii="仿宋" w:hAnsi="仿宋" w:eastAsia="仿宋" w:cs="仿宋"/>
              </w:rPr>
            </w:pPr>
            <w:r>
              <w:rPr>
                <w:rFonts w:hint="eastAsia" w:ascii="仿宋" w:hAnsi="仿宋" w:eastAsia="仿宋" w:cs="仿宋"/>
              </w:rPr>
              <w:t>（二）班级审核。班级评议小组组织互评、审核相关材料，统计成绩，并将结果进行不少于</w:t>
            </w:r>
            <w:r>
              <w:rPr>
                <w:rFonts w:hint="eastAsia" w:ascii="仿宋" w:hAnsi="仿宋" w:eastAsia="仿宋" w:cs="仿宋"/>
                <w:strike/>
                <w:color w:val="0070C0"/>
              </w:rPr>
              <w:t>1个工作日</w:t>
            </w:r>
            <w:r>
              <w:rPr>
                <w:rFonts w:hint="eastAsia" w:ascii="仿宋" w:hAnsi="仿宋" w:eastAsia="仿宋" w:cs="仿宋"/>
              </w:rPr>
              <w:t>的公示。</w:t>
            </w:r>
          </w:p>
          <w:p>
            <w:pPr>
              <w:spacing w:line="276" w:lineRule="auto"/>
              <w:ind w:firstLine="480" w:firstLineChars="200"/>
              <w:jc w:val="left"/>
              <w:rPr>
                <w:rFonts w:ascii="仿宋" w:hAnsi="仿宋" w:eastAsia="仿宋" w:cs="仿宋"/>
              </w:rPr>
            </w:pPr>
            <w:r>
              <w:rPr>
                <w:rFonts w:hint="eastAsia" w:ascii="仿宋" w:hAnsi="仿宋" w:eastAsia="仿宋" w:cs="仿宋"/>
              </w:rPr>
              <w:t>（三）学院初评。按照</w:t>
            </w:r>
            <w:r>
              <w:rPr>
                <w:rFonts w:hint="eastAsia" w:ascii="仿宋" w:hAnsi="仿宋" w:eastAsia="仿宋" w:cs="仿宋"/>
                <w:strike/>
                <w:color w:val="0070C0"/>
              </w:rPr>
              <w:t>公开、公平、公正、择优的原则</w:t>
            </w:r>
            <w:r>
              <w:rPr>
                <w:rFonts w:hint="eastAsia" w:ascii="仿宋" w:hAnsi="仿宋" w:eastAsia="仿宋" w:cs="仿宋"/>
              </w:rPr>
              <w:t>，由学院参评材料初评小组依据</w:t>
            </w:r>
            <w:r>
              <w:rPr>
                <w:rFonts w:hint="eastAsia" w:ascii="仿宋" w:hAnsi="仿宋" w:eastAsia="仿宋" w:cs="仿宋"/>
                <w:strike/>
                <w:color w:val="0070C0"/>
              </w:rPr>
              <w:t>本办法的相应细则</w:t>
            </w:r>
            <w:r>
              <w:rPr>
                <w:rFonts w:hint="eastAsia" w:ascii="仿宋" w:hAnsi="仿宋" w:eastAsia="仿宋" w:cs="仿宋"/>
              </w:rPr>
              <w:t>，对申请学业奖学金研究生材料进行初评。初评结果提交学院学业奖学金评审委员会审核后，对评审结果进行不少于3个工作日的公示，公示无异议后将相关材料和汇总表上报学校评审领导小组。</w:t>
            </w:r>
          </w:p>
          <w:p>
            <w:pPr>
              <w:spacing w:line="276" w:lineRule="auto"/>
              <w:ind w:firstLine="480" w:firstLineChars="200"/>
              <w:jc w:val="left"/>
              <w:rPr>
                <w:rFonts w:ascii="仿宋" w:hAnsi="仿宋" w:eastAsia="仿宋" w:cs="仿宋"/>
                <w:sz w:val="22"/>
                <w:szCs w:val="22"/>
              </w:rPr>
            </w:pPr>
            <w:r>
              <w:rPr>
                <w:rFonts w:hint="eastAsia" w:ascii="仿宋" w:hAnsi="仿宋" w:eastAsia="仿宋" w:cs="仿宋"/>
              </w:rPr>
              <w:t>（四）申诉处理。在学院公示阶段，如研究生对学业奖学金评审结果有异议的，可在学院公示期间向学院学业奖学金评审委员会提出申诉。在学校公示阶段有异议的，可在全校公示期间提请学校评审领导小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第十四条</w:t>
            </w:r>
            <w:r>
              <w:rPr>
                <w:rFonts w:hint="eastAsia" w:ascii="仿宋" w:hAnsi="仿宋" w:eastAsia="仿宋" w:cs="仿宋"/>
                <w:sz w:val="22"/>
                <w:szCs w:val="22"/>
              </w:rPr>
              <w:t xml:space="preserve">  </w:t>
            </w:r>
            <w:r>
              <w:rPr>
                <w:rFonts w:hint="eastAsia" w:ascii="仿宋" w:hAnsi="仿宋" w:eastAsia="仿宋" w:cs="仿宋"/>
                <w:b/>
                <w:bCs/>
                <w:sz w:val="22"/>
                <w:szCs w:val="22"/>
              </w:rPr>
              <w:t>【申诉处理】</w:t>
            </w:r>
            <w:r>
              <w:rPr>
                <w:rFonts w:hint="eastAsia" w:ascii="仿宋" w:hAnsi="仿宋" w:eastAsia="仿宋" w:cs="仿宋"/>
                <w:sz w:val="22"/>
                <w:szCs w:val="22"/>
              </w:rPr>
              <w:t>在学院公示阶段，研究生对学业奖学金评审结果有异议的，可以在公示期间向学院学业奖学金评审委员会提出申诉。</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在学校公示阶段，研究生对学业奖学金评审结果有异议的，可以在公示期间提请学校学业奖学金评审领导小组裁决。</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第三章 评选要求及注意事项</w:t>
            </w:r>
          </w:p>
        </w:tc>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第五部分 评选要求及注意事项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第十五条  【参评年度的界定】</w:t>
            </w:r>
            <w:r>
              <w:rPr>
                <w:rFonts w:hint="eastAsia" w:ascii="仿宋" w:hAnsi="仿宋" w:eastAsia="仿宋" w:cs="仿宋"/>
                <w:sz w:val="22"/>
                <w:szCs w:val="22"/>
              </w:rPr>
              <w:t>参评年度，是指参评年上一年9月1日至参评年8月31日。</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硕士新生申请学业奖学金的参评成果应为本科期间至参评年8月31日前所获得的成果。</w:t>
            </w:r>
          </w:p>
          <w:p>
            <w:pPr>
              <w:spacing w:line="240" w:lineRule="auto"/>
              <w:ind w:firstLine="440" w:firstLineChars="200"/>
              <w:rPr>
                <w:rFonts w:ascii="仿宋" w:hAnsi="仿宋" w:eastAsia="仿宋" w:cs="仿宋"/>
                <w:b/>
                <w:bCs/>
              </w:rPr>
            </w:pPr>
            <w:r>
              <w:rPr>
                <w:rFonts w:hint="eastAsia" w:ascii="仿宋" w:hAnsi="仿宋" w:eastAsia="仿宋" w:cs="仿宋"/>
                <w:sz w:val="22"/>
                <w:szCs w:val="22"/>
              </w:rPr>
              <w:t>研究生老生申请学业奖学金的参评成果应为参评年度内获得的成果。</w:t>
            </w:r>
          </w:p>
        </w:tc>
        <w:tc>
          <w:tcPr>
            <w:tcW w:w="2500" w:type="pct"/>
            <w:vMerge w:val="restar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一、参评研究成果界定</w:t>
            </w:r>
          </w:p>
          <w:p>
            <w:pPr>
              <w:spacing w:line="240" w:lineRule="auto"/>
              <w:ind w:firstLine="480" w:firstLineChars="200"/>
              <w:rPr>
                <w:rFonts w:ascii="仿宋" w:hAnsi="仿宋" w:eastAsia="仿宋" w:cs="仿宋"/>
              </w:rPr>
            </w:pPr>
            <w:r>
              <w:rPr>
                <w:rFonts w:hint="eastAsia" w:ascii="仿宋" w:hAnsi="仿宋" w:eastAsia="仿宋" w:cs="仿宋"/>
              </w:rPr>
              <w:t>研究生老生参评研究成果必须以“华南农业大学”为第一署名单位。</w:t>
            </w:r>
          </w:p>
          <w:p>
            <w:pPr>
              <w:spacing w:line="240" w:lineRule="auto"/>
              <w:ind w:firstLine="480" w:firstLineChars="200"/>
              <w:rPr>
                <w:rFonts w:ascii="仿宋" w:hAnsi="仿宋" w:eastAsia="仿宋" w:cs="仿宋"/>
              </w:rPr>
            </w:pPr>
            <w:r>
              <w:rPr>
                <w:rFonts w:hint="eastAsia" w:ascii="仿宋" w:hAnsi="仿宋" w:eastAsia="仿宋" w:cs="仿宋"/>
              </w:rPr>
              <w:t>（一）著作是指取得ISBN统一书号、公开出版发行的本专业学术专著、编著、高校教材、译著、工具书、科普著作。作者原则上以著作版权页标明为准。作者排名第一位或主编认定为第一作者；作者排名第二位或副主编排名第一位认定为第二作者，依次类推：</w:t>
            </w:r>
            <w:r>
              <w:rPr>
                <w:rFonts w:hint="eastAsia" w:ascii="仿宋" w:hAnsi="仿宋" w:eastAsia="仿宋" w:cs="仿宋"/>
                <w:strike/>
                <w:color w:val="0070C0"/>
              </w:rPr>
              <w:t>著作版权页作者处无具名或</w:t>
            </w:r>
            <w:r>
              <w:rPr>
                <w:rFonts w:hint="eastAsia" w:ascii="仿宋" w:hAnsi="仿宋" w:eastAsia="仿宋" w:cs="仿宋"/>
              </w:rPr>
              <w:t>排名在副主编以后认定为参编者。未具名于著作版权页的，不予认定。</w:t>
            </w:r>
          </w:p>
          <w:p>
            <w:pPr>
              <w:spacing w:line="240" w:lineRule="auto"/>
              <w:ind w:firstLine="480" w:firstLineChars="200"/>
              <w:rPr>
                <w:rFonts w:ascii="仿宋" w:hAnsi="仿宋" w:eastAsia="仿宋" w:cs="仿宋"/>
                <w:strike/>
                <w:color w:val="0070C0"/>
              </w:rPr>
            </w:pPr>
            <w:r>
              <w:rPr>
                <w:rFonts w:hint="eastAsia" w:ascii="仿宋" w:hAnsi="仿宋" w:eastAsia="仿宋" w:cs="仿宋"/>
              </w:rPr>
              <w:t>（二）论文是指在国内外公开发行的</w:t>
            </w:r>
            <w:r>
              <w:rPr>
                <w:rFonts w:hint="eastAsia" w:ascii="仿宋" w:hAnsi="仿宋" w:eastAsia="仿宋" w:cs="仿宋"/>
                <w:strike/>
                <w:color w:val="0070C0"/>
              </w:rPr>
              <w:t>本专业</w:t>
            </w:r>
            <w:r>
              <w:rPr>
                <w:rFonts w:hint="eastAsia" w:ascii="仿宋" w:hAnsi="仿宋" w:eastAsia="仿宋" w:cs="仿宋"/>
              </w:rPr>
              <w:t>学术刊物上发表的学术论文。在学术刊物的“增刊、特刊、专刊、专辑”上发表的论文</w:t>
            </w:r>
            <w:r>
              <w:rPr>
                <w:rFonts w:hint="eastAsia" w:ascii="仿宋" w:hAnsi="仿宋" w:eastAsia="仿宋" w:cs="仿宋"/>
                <w:strike/>
                <w:color w:val="0070C0"/>
              </w:rPr>
              <w:t>以及被论文集收录的论文(被SCI等索引全文收录的除外)</w:t>
            </w:r>
            <w:r>
              <w:rPr>
                <w:rFonts w:hint="eastAsia" w:ascii="仿宋" w:hAnsi="仿宋" w:eastAsia="仿宋" w:cs="仿宋"/>
              </w:rPr>
              <w:t>均不计数量。</w:t>
            </w:r>
            <w:r>
              <w:rPr>
                <w:rFonts w:hint="eastAsia" w:ascii="仿宋" w:hAnsi="仿宋" w:eastAsia="仿宋" w:cs="仿宋"/>
                <w:strike/>
                <w:color w:val="0070C0"/>
              </w:rPr>
              <w:t>录用通知、清样、出版证明均不能按已发表计算。</w:t>
            </w:r>
          </w:p>
          <w:p>
            <w:pPr>
              <w:spacing w:line="240" w:lineRule="auto"/>
              <w:ind w:firstLine="480" w:firstLineChars="200"/>
              <w:rPr>
                <w:rFonts w:ascii="仿宋" w:hAnsi="仿宋" w:eastAsia="仿宋" w:cs="仿宋"/>
              </w:rPr>
            </w:pPr>
            <w:r>
              <w:rPr>
                <w:rFonts w:hint="eastAsia" w:ascii="仿宋" w:hAnsi="仿宋" w:eastAsia="仿宋" w:cs="仿宋"/>
              </w:rPr>
              <w:t>根据《华南农业大学学术论文评价方案（试行）》（华南农办〔2021〕27号）将学术论文由高到低分为T1、T2、A、B、C共5个等级，具体如下：</w:t>
            </w:r>
          </w:p>
          <w:p>
            <w:pPr>
              <w:spacing w:line="240" w:lineRule="auto"/>
              <w:ind w:firstLine="480" w:firstLineChars="200"/>
              <w:rPr>
                <w:rFonts w:ascii="仿宋" w:hAnsi="仿宋" w:eastAsia="仿宋" w:cs="仿宋"/>
              </w:rPr>
            </w:pPr>
            <w:r>
              <w:rPr>
                <w:rFonts w:hint="eastAsia" w:ascii="仿宋" w:hAnsi="仿宋" w:eastAsia="仿宋" w:cs="仿宋"/>
              </w:rPr>
              <w:t>1.T1类</w:t>
            </w:r>
          </w:p>
          <w:p>
            <w:pPr>
              <w:spacing w:line="240" w:lineRule="auto"/>
              <w:ind w:firstLine="480" w:firstLineChars="200"/>
              <w:rPr>
                <w:rFonts w:ascii="仿宋" w:hAnsi="仿宋" w:eastAsia="仿宋" w:cs="仿宋"/>
              </w:rPr>
            </w:pPr>
            <w:r>
              <w:rPr>
                <w:rFonts w:hint="eastAsia" w:ascii="仿宋" w:hAnsi="仿宋" w:eastAsia="仿宋" w:cs="仿宋"/>
              </w:rPr>
              <w:t>发表在《Nature》《Science》《Cell》《中国社会科学》上的学术论文。</w:t>
            </w:r>
          </w:p>
          <w:p>
            <w:pPr>
              <w:spacing w:line="240" w:lineRule="auto"/>
              <w:ind w:firstLine="480" w:firstLineChars="200"/>
              <w:rPr>
                <w:rFonts w:ascii="仿宋" w:hAnsi="仿宋" w:eastAsia="仿宋" w:cs="仿宋"/>
              </w:rPr>
            </w:pPr>
            <w:r>
              <w:rPr>
                <w:rFonts w:hint="eastAsia" w:ascii="仿宋" w:hAnsi="仿宋" w:eastAsia="仿宋" w:cs="仿宋"/>
              </w:rPr>
              <w:t>2.T2类</w:t>
            </w:r>
          </w:p>
          <w:p>
            <w:pPr>
              <w:spacing w:line="240" w:lineRule="auto"/>
              <w:ind w:firstLine="480" w:firstLineChars="200"/>
              <w:rPr>
                <w:rFonts w:ascii="仿宋" w:hAnsi="仿宋" w:eastAsia="仿宋" w:cs="仿宋"/>
              </w:rPr>
            </w:pPr>
            <w:r>
              <w:rPr>
                <w:rFonts w:hint="eastAsia" w:ascii="仿宋" w:hAnsi="仿宋" w:eastAsia="仿宋" w:cs="仿宋"/>
              </w:rPr>
              <w:t>发表在中国科技期刊卓越行动计划领军期刊上的学术论文；发表在被SCI/SSCI一区收录期刊上的学术论文；发表在《科学通报》《管理世界》《经济研究》《历史研究》《政治学研究》《法学研究》《哲学研究》《文学评论》上的学术论文。</w:t>
            </w:r>
          </w:p>
          <w:p>
            <w:pPr>
              <w:spacing w:line="240" w:lineRule="auto"/>
              <w:ind w:firstLine="480" w:firstLineChars="200"/>
              <w:rPr>
                <w:rFonts w:ascii="仿宋" w:hAnsi="仿宋" w:eastAsia="仿宋" w:cs="仿宋"/>
              </w:rPr>
            </w:pPr>
            <w:r>
              <w:rPr>
                <w:rFonts w:hint="eastAsia" w:ascii="仿宋" w:hAnsi="仿宋" w:eastAsia="仿宋" w:cs="仿宋"/>
              </w:rPr>
              <w:t>3.A类</w:t>
            </w:r>
          </w:p>
          <w:p>
            <w:pPr>
              <w:spacing w:line="240" w:lineRule="auto"/>
              <w:ind w:firstLine="480" w:firstLineChars="200"/>
              <w:rPr>
                <w:rFonts w:ascii="仿宋" w:hAnsi="仿宋" w:eastAsia="仿宋" w:cs="仿宋"/>
              </w:rPr>
            </w:pPr>
            <w:r>
              <w:rPr>
                <w:rFonts w:hint="eastAsia" w:ascii="仿宋" w:hAnsi="仿宋" w:eastAsia="仿宋" w:cs="仿宋"/>
              </w:rPr>
              <w:t>发表在中国科技期刊卓越行动计划重点期刊上的学术论文；发表在被SCI/SSCI二区收录期刊上的学术论文；发表在北大中文核心期刊要目总览自然科学类学科分类排名第1（综合性科学技术排名前3，第1或前3的期刊已列入T1、T2类的，按排名顺延）期刊上的学术论文；发表在北大中文核心期刊要目总览人文社会科学类学科分类排名第1（综合性人文、社会科学排名前3，第1或前3的期刊已列入T1、T2类的，按排名顺延），且同时为中文社会科学引文索引（CSSCI）来源期刊（不含扩展版）上的学术论文；被《中国社会科学文摘》和《新华文摘》转载的学术论文（主体转载，3000字以上）；发表在《求是》《人民日报》《光明日报》《经济日报》上的理论文章；发表在《马克思主义研究》《马克思主义与现实》《装饰》上的学术论文。</w:t>
            </w:r>
          </w:p>
          <w:p>
            <w:pPr>
              <w:spacing w:line="240" w:lineRule="auto"/>
              <w:ind w:firstLine="480" w:firstLineChars="200"/>
              <w:rPr>
                <w:rFonts w:ascii="仿宋" w:hAnsi="仿宋" w:eastAsia="仿宋" w:cs="仿宋"/>
              </w:rPr>
            </w:pPr>
            <w:r>
              <w:rPr>
                <w:rFonts w:hint="eastAsia" w:ascii="仿宋" w:hAnsi="仿宋" w:eastAsia="仿宋" w:cs="仿宋"/>
              </w:rPr>
              <w:t>4.B类</w:t>
            </w:r>
          </w:p>
          <w:p>
            <w:pPr>
              <w:spacing w:line="240" w:lineRule="auto"/>
              <w:ind w:firstLine="480" w:firstLineChars="200"/>
              <w:rPr>
                <w:rFonts w:ascii="仿宋" w:hAnsi="仿宋" w:eastAsia="仿宋" w:cs="仿宋"/>
              </w:rPr>
            </w:pPr>
            <w:r>
              <w:rPr>
                <w:rFonts w:hint="eastAsia" w:ascii="仿宋" w:hAnsi="仿宋" w:eastAsia="仿宋" w:cs="仿宋"/>
              </w:rPr>
              <w:t>发表在中国科技期刊卓越行动计划梯队期刊上的学术论文；发表在被SCI/SSCI三区、四区收录期刊上的学术论文；发表在北大中文核心期刊要目总览自然科学类学科分类排名前25%期刊上的学术论文；发表在北大中心核心期刊要目总览人文社会科学类学科分类排名前25%，且同时为中文社会科学引文索引（CSSCI）来源期刊（不含扩展版）上的学术论文；被《中国社会科学文摘》和《新华文摘》论点摘编的学术论文，被中国人民大学《复印报刊资料》全文转载的学术论文；发表在被A&amp;HCI收录期刊上的学术论文（仅限体育、外语、艺术类学科），发表在被EI收录期刊上的学术论文（仅限农业工程、林业工程、水利工程、土木工程学科，检索类型为JA）；发表在《华南农业大学学报》《美术与设计》上的学术论文。</w:t>
            </w:r>
          </w:p>
          <w:p>
            <w:pPr>
              <w:spacing w:line="240" w:lineRule="auto"/>
              <w:ind w:firstLine="480" w:firstLineChars="200"/>
              <w:rPr>
                <w:rFonts w:ascii="仿宋" w:hAnsi="仿宋" w:eastAsia="仿宋" w:cs="仿宋"/>
              </w:rPr>
            </w:pPr>
            <w:r>
              <w:rPr>
                <w:rFonts w:hint="eastAsia" w:ascii="仿宋" w:hAnsi="仿宋" w:eastAsia="仿宋" w:cs="仿宋"/>
              </w:rPr>
              <w:t>5.C类</w:t>
            </w:r>
          </w:p>
          <w:p>
            <w:pPr>
              <w:spacing w:line="240" w:lineRule="auto"/>
              <w:ind w:firstLine="480" w:firstLineChars="200"/>
              <w:rPr>
                <w:rFonts w:ascii="仿宋" w:hAnsi="仿宋" w:eastAsia="仿宋" w:cs="仿宋"/>
              </w:rPr>
            </w:pPr>
            <w:r>
              <w:rPr>
                <w:rFonts w:hint="eastAsia" w:ascii="仿宋" w:hAnsi="仿宋" w:eastAsia="仿宋" w:cs="仿宋"/>
              </w:rPr>
              <w:t>发表在中国科技期刊卓越行动计划高起点新刊上的学术论文；发表在北大中文核心期刊和中文社会科学引文索引（CSSCI）来源期刊上、未列入以上T1、T2、A、B类的学术论文；发表在《日语学习与研究》上的学术论文。</w:t>
            </w:r>
          </w:p>
          <w:p>
            <w:pPr>
              <w:spacing w:line="240" w:lineRule="auto"/>
              <w:ind w:firstLine="480" w:firstLineChars="200"/>
              <w:rPr>
                <w:rFonts w:ascii="仿宋" w:hAnsi="仿宋" w:eastAsia="仿宋" w:cs="仿宋"/>
              </w:rPr>
            </w:pPr>
            <w:r>
              <w:rPr>
                <w:rFonts w:hint="eastAsia" w:ascii="仿宋" w:hAnsi="仿宋" w:eastAsia="仿宋" w:cs="仿宋"/>
              </w:rPr>
              <w:t>一般学术刊物指除以上说明外，国内外公开发行的其他学术刊物、非核心期刊论文。</w:t>
            </w:r>
          </w:p>
          <w:p>
            <w:pPr>
              <w:spacing w:line="240" w:lineRule="auto"/>
              <w:ind w:firstLine="482" w:firstLineChars="200"/>
              <w:rPr>
                <w:rFonts w:ascii="仿宋" w:hAnsi="仿宋" w:eastAsia="仿宋" w:cs="仿宋"/>
                <w:b/>
                <w:bCs/>
              </w:rPr>
            </w:pPr>
            <w:r>
              <w:rPr>
                <w:rFonts w:hint="eastAsia" w:ascii="仿宋" w:hAnsi="仿宋" w:eastAsia="仿宋" w:cs="仿宋"/>
                <w:b/>
                <w:bCs/>
              </w:rPr>
              <w:t>二、荣誉级别界定</w:t>
            </w:r>
          </w:p>
          <w:p>
            <w:pPr>
              <w:spacing w:line="240" w:lineRule="auto"/>
              <w:ind w:firstLine="480" w:firstLineChars="200"/>
              <w:rPr>
                <w:rFonts w:ascii="仿宋" w:hAnsi="仿宋" w:eastAsia="仿宋" w:cs="仿宋"/>
              </w:rPr>
            </w:pPr>
            <w:r>
              <w:rPr>
                <w:rFonts w:hint="eastAsia" w:ascii="仿宋" w:hAnsi="仿宋" w:eastAsia="仿宋" w:cs="仿宋"/>
              </w:rPr>
              <w:t>所获荣誉的级别分为国家级、省级、校(市)级、院级，国家级荣誉由国家部委及以上单位表彰并加盖相关部门公章，省级荣誉由省(自治区、直辖市)政府及厅(局、委、办)、省级事业单位表彰并加盖相关部门公章，市级荣誉由市政府及局(委、办)、市级事业单位表彰并加盖相关部门公章，校级荣誉由学校各部处表彰并加盖学校行政章、学校党委章、各部处公章或学校团委章，院级荣誉由学院表彰并加盖学院行政章、学院党委章或学院团委章。各级荣誉应有证书证明，并有明确的落款单位、盖章和日期。证书缺盖相应级别公章的，</w:t>
            </w:r>
            <w:r>
              <w:rPr>
                <w:rFonts w:hint="eastAsia" w:ascii="仿宋" w:hAnsi="仿宋" w:eastAsia="仿宋" w:cs="仿宋"/>
                <w:strike/>
                <w:color w:val="0070C0"/>
              </w:rPr>
              <w:t>经查实确有其事的</w:t>
            </w:r>
            <w:r>
              <w:rPr>
                <w:rFonts w:hint="eastAsia" w:ascii="仿宋" w:hAnsi="仿宋" w:eastAsia="仿宋" w:cs="仿宋"/>
              </w:rPr>
              <w:t>，降一级认定；行业内、系统内表彰的，按市级荣誉认定；校级组织或院级组织经学校相关部处批准、举行的全校及以上范围的比赛所表彰的，除有特殊说明外，按校级荣誉认定；校级组织内部表彰、院级组织表彰和已在民政部门登记的社会组织、机构表彰的，按院级荣誉认定；已在民政部门登记的社会组织、机构表彰，该组织、机构有双重级别的，</w:t>
            </w:r>
            <w:r>
              <w:rPr>
                <w:rFonts w:hint="eastAsia" w:ascii="仿宋" w:hAnsi="仿宋" w:eastAsia="仿宋" w:cs="仿宋"/>
                <w:strike/>
                <w:color w:val="0070C0"/>
              </w:rPr>
              <w:t>该荣誉按最高级别认定</w:t>
            </w:r>
            <w:r>
              <w:rPr>
                <w:rFonts w:hint="eastAsia" w:ascii="仿宋" w:hAnsi="仿宋" w:eastAsia="仿宋" w:cs="仿宋"/>
              </w:rPr>
              <w:t>；企业内部及未登记的社会组织、机构表彰，不予认定。</w:t>
            </w:r>
          </w:p>
          <w:p>
            <w:pPr>
              <w:spacing w:line="240" w:lineRule="auto"/>
              <w:ind w:firstLine="480" w:firstLineChars="200"/>
              <w:rPr>
                <w:rFonts w:ascii="仿宋" w:hAnsi="仿宋" w:eastAsia="仿宋" w:cs="仿宋"/>
                <w:strike/>
                <w:color w:val="0070C0"/>
              </w:rPr>
            </w:pPr>
            <w:r>
              <w:rPr>
                <w:rFonts w:hint="eastAsia" w:ascii="仿宋" w:hAnsi="仿宋" w:eastAsia="仿宋" w:cs="仿宋"/>
              </w:rPr>
              <w:t>因同一项目、活动、比赛、作品、社会工作等在同一评优周期内获得多次表彰的，</w:t>
            </w:r>
            <w:r>
              <w:rPr>
                <w:rFonts w:hint="eastAsia" w:ascii="仿宋" w:hAnsi="仿宋" w:eastAsia="仿宋" w:cs="仿宋"/>
                <w:strike/>
                <w:color w:val="0070C0"/>
              </w:rPr>
              <w:t>不累计加分，只取最高分</w:t>
            </w:r>
            <w:r>
              <w:rPr>
                <w:rFonts w:hint="eastAsia" w:ascii="仿宋" w:hAnsi="仿宋" w:eastAsia="仿宋" w:cs="仿宋"/>
              </w:rPr>
              <w:t>。已获得“优秀研究生(干部)奖学金”、“优秀硕士毕业论文奖”、“研究生学业奖学金”、“国家奖学金”、企业或实验室设立的奖助学金等设有奖励金的项目，不纳入荣誉加分范畴。</w:t>
            </w:r>
          </w:p>
          <w:p>
            <w:pPr>
              <w:spacing w:line="240" w:lineRule="auto"/>
              <w:ind w:firstLine="482" w:firstLineChars="200"/>
              <w:rPr>
                <w:rFonts w:ascii="仿宋" w:hAnsi="仿宋" w:eastAsia="仿宋" w:cs="仿宋"/>
                <w:b/>
                <w:bCs/>
              </w:rPr>
            </w:pPr>
            <w:r>
              <w:rPr>
                <w:rFonts w:hint="eastAsia" w:ascii="仿宋" w:hAnsi="仿宋" w:eastAsia="仿宋" w:cs="仿宋"/>
                <w:b/>
                <w:bCs/>
              </w:rPr>
              <w:t>三、学科竞赛界定</w:t>
            </w:r>
          </w:p>
          <w:p>
            <w:pPr>
              <w:spacing w:line="240" w:lineRule="auto"/>
              <w:ind w:firstLine="480" w:firstLineChars="200"/>
              <w:rPr>
                <w:rFonts w:ascii="仿宋" w:hAnsi="仿宋" w:eastAsia="仿宋" w:cs="仿宋"/>
              </w:rPr>
            </w:pPr>
            <w:r>
              <w:rPr>
                <w:rFonts w:hint="eastAsia" w:ascii="仿宋" w:hAnsi="仿宋" w:eastAsia="仿宋" w:cs="仿宋"/>
              </w:rPr>
              <w:t>学科竞赛一般指由省级及以上省级行政管理部门、党团组织、学会、协会、学校、学院等主办的基础学科、专业技术应用和发明创新相关的竞赛。竞赛获奖应提供加盖相关部门公章的获奖证书，并有明确的落款单位和日期。</w:t>
            </w:r>
          </w:p>
          <w:p>
            <w:pPr>
              <w:spacing w:line="240" w:lineRule="auto"/>
              <w:ind w:firstLine="480" w:firstLineChars="200"/>
              <w:rPr>
                <w:rFonts w:ascii="仿宋" w:hAnsi="仿宋" w:eastAsia="仿宋" w:cs="仿宋"/>
                <w:strike/>
                <w:color w:val="0070C0"/>
              </w:rPr>
            </w:pPr>
            <w:r>
              <w:rPr>
                <w:rFonts w:hint="eastAsia" w:ascii="仿宋" w:hAnsi="仿宋" w:eastAsia="仿宋" w:cs="仿宋"/>
                <w:strike/>
                <w:color w:val="0070C0"/>
              </w:rPr>
              <w:t>学科竞赛一般包括：中国“互联网+”大学生创新创业大赛、“挑战杯”全国大学生课外学术科技作品竞赛、“挑战杯”中国大学生创业计划大赛等。（具体请参考《2022年华南农业大学研究生手册》第116-118页。）</w:t>
            </w:r>
          </w:p>
          <w:p>
            <w:pPr>
              <w:spacing w:line="240" w:lineRule="auto"/>
              <w:ind w:firstLine="482" w:firstLineChars="200"/>
              <w:rPr>
                <w:rFonts w:ascii="仿宋" w:hAnsi="仿宋" w:eastAsia="仿宋" w:cs="仿宋"/>
                <w:b/>
                <w:bCs/>
              </w:rPr>
            </w:pPr>
            <w:r>
              <w:rPr>
                <w:rFonts w:hint="eastAsia" w:ascii="仿宋" w:hAnsi="仿宋" w:eastAsia="仿宋" w:cs="仿宋"/>
                <w:b/>
                <w:bCs/>
              </w:rPr>
              <w:t>四、参评研究成果时间界定</w:t>
            </w:r>
          </w:p>
          <w:p>
            <w:pPr>
              <w:spacing w:line="240" w:lineRule="auto"/>
              <w:ind w:firstLine="480" w:firstLineChars="200"/>
              <w:rPr>
                <w:rFonts w:ascii="仿宋" w:hAnsi="仿宋" w:eastAsia="仿宋" w:cs="仿宋"/>
                <w:strike/>
                <w:color w:val="0070C0"/>
              </w:rPr>
            </w:pPr>
            <w:r>
              <w:rPr>
                <w:rFonts w:hint="eastAsia" w:ascii="仿宋" w:hAnsi="仿宋" w:eastAsia="仿宋" w:cs="仿宋"/>
              </w:rPr>
              <w:t>（一）研究成果采取年度制计算。</w:t>
            </w:r>
            <w:r>
              <w:rPr>
                <w:rFonts w:hint="eastAsia" w:ascii="仿宋" w:hAnsi="仿宋" w:eastAsia="仿宋" w:cs="仿宋"/>
                <w:strike/>
                <w:color w:val="0070C0"/>
              </w:rPr>
              <w:t>博士新生申请学业奖学金的研究成果应为硕士期间至参评当年度8月31日前所获得的研究成果。</w:t>
            </w:r>
          </w:p>
          <w:p>
            <w:pPr>
              <w:spacing w:line="240" w:lineRule="auto"/>
              <w:ind w:firstLine="480" w:firstLineChars="200"/>
              <w:rPr>
                <w:rFonts w:ascii="仿宋" w:hAnsi="仿宋" w:eastAsia="仿宋" w:cs="仿宋"/>
              </w:rPr>
            </w:pPr>
            <w:r>
              <w:rPr>
                <w:rFonts w:hint="eastAsia" w:ascii="仿宋" w:hAnsi="仿宋" w:eastAsia="仿宋" w:cs="仿宋"/>
              </w:rPr>
              <w:t>（二）硕士新生申请学业奖学金的研究成果应为本科期间至参评当年度8月31日前所获得的研究成果。</w:t>
            </w:r>
          </w:p>
          <w:p>
            <w:pPr>
              <w:spacing w:line="240" w:lineRule="auto"/>
              <w:ind w:firstLine="480" w:firstLineChars="200"/>
              <w:rPr>
                <w:rFonts w:ascii="仿宋" w:hAnsi="仿宋" w:eastAsia="仿宋" w:cs="仿宋"/>
              </w:rPr>
            </w:pPr>
            <w:r>
              <w:rPr>
                <w:rFonts w:hint="eastAsia" w:ascii="仿宋" w:hAnsi="仿宋" w:eastAsia="仿宋" w:cs="仿宋"/>
              </w:rPr>
              <w:t>（三）研究生老生申请学业奖学金的研究成果应为上一年度9月1日至本年度8月31日。论文</w:t>
            </w:r>
            <w:r>
              <w:rPr>
                <w:rFonts w:hint="eastAsia" w:ascii="仿宋" w:hAnsi="仿宋" w:eastAsia="仿宋" w:cs="仿宋"/>
                <w:strike/>
                <w:color w:val="0070C0"/>
              </w:rPr>
              <w:t>、著作</w:t>
            </w:r>
            <w:r>
              <w:rPr>
                <w:rFonts w:hint="eastAsia" w:ascii="仿宋" w:hAnsi="仿宋" w:eastAsia="仿宋" w:cs="仿宋"/>
              </w:rPr>
              <w:t>以刊出时间为准。课题以项目下达通知时间为准。</w:t>
            </w:r>
          </w:p>
          <w:p>
            <w:pPr>
              <w:spacing w:line="240" w:lineRule="auto"/>
              <w:ind w:firstLine="480" w:firstLineChars="200"/>
              <w:rPr>
                <w:rFonts w:ascii="仿宋" w:hAnsi="仿宋" w:eastAsia="仿宋" w:cs="仿宋"/>
              </w:rPr>
            </w:pPr>
            <w:r>
              <w:rPr>
                <w:rFonts w:hint="eastAsia" w:ascii="仿宋" w:hAnsi="仿宋" w:eastAsia="仿宋" w:cs="仿宋"/>
              </w:rPr>
              <w:t>（四）研究成果不得重复使用。</w:t>
            </w:r>
          </w:p>
          <w:p>
            <w:pPr>
              <w:spacing w:line="240" w:lineRule="auto"/>
              <w:ind w:firstLine="482" w:firstLineChars="200"/>
              <w:rPr>
                <w:rFonts w:ascii="仿宋" w:hAnsi="仿宋" w:eastAsia="仿宋" w:cs="仿宋"/>
                <w:b/>
                <w:bCs/>
              </w:rPr>
            </w:pPr>
            <w:r>
              <w:rPr>
                <w:rFonts w:hint="eastAsia" w:ascii="仿宋" w:hAnsi="仿宋" w:eastAsia="仿宋" w:cs="仿宋"/>
                <w:b/>
                <w:bCs/>
              </w:rPr>
              <w:t>五、参评注意事项</w:t>
            </w:r>
          </w:p>
          <w:p>
            <w:pPr>
              <w:spacing w:line="240" w:lineRule="auto"/>
              <w:ind w:firstLine="480" w:firstLineChars="200"/>
              <w:rPr>
                <w:rFonts w:ascii="仿宋" w:hAnsi="仿宋" w:eastAsia="仿宋" w:cs="仿宋"/>
              </w:rPr>
            </w:pPr>
            <w:r>
              <w:rPr>
                <w:rFonts w:hint="eastAsia" w:ascii="仿宋" w:hAnsi="仿宋" w:eastAsia="仿宋" w:cs="仿宋"/>
              </w:rPr>
              <w:t>（一）参评者提供的材料必须真实可信，如有弄虚作假，取消参评资格，并根据《华南农业大学学生违纪处分实施办法》（华南农办〔2017〕101号）的规定给予严肃处理。</w:t>
            </w:r>
          </w:p>
          <w:p>
            <w:pPr>
              <w:spacing w:line="240" w:lineRule="auto"/>
              <w:ind w:firstLine="480" w:firstLineChars="200"/>
              <w:rPr>
                <w:rFonts w:ascii="仿宋" w:hAnsi="仿宋" w:eastAsia="仿宋" w:cs="仿宋"/>
              </w:rPr>
            </w:pPr>
            <w:r>
              <w:rPr>
                <w:rFonts w:hint="eastAsia" w:ascii="仿宋" w:hAnsi="仿宋" w:eastAsia="仿宋" w:cs="仿宋"/>
              </w:rPr>
              <w:t>（二）所有参评研究成果须提供导师对该研究成果是否符合学术规范、是否遵守学术道德的鉴定意见。</w:t>
            </w:r>
          </w:p>
          <w:p>
            <w:pPr>
              <w:spacing w:line="240" w:lineRule="auto"/>
              <w:ind w:firstLine="480" w:firstLineChars="200"/>
              <w:rPr>
                <w:rFonts w:ascii="仿宋" w:hAnsi="仿宋" w:eastAsia="仿宋" w:cs="仿宋"/>
              </w:rPr>
            </w:pPr>
            <w:r>
              <w:rPr>
                <w:rFonts w:hint="eastAsia" w:ascii="仿宋" w:hAnsi="仿宋" w:eastAsia="仿宋" w:cs="仿宋"/>
              </w:rPr>
              <w:t>（三）发表于非法期刊的论文，不予认定为研究成果，不予评分。</w:t>
            </w:r>
          </w:p>
          <w:p>
            <w:pPr>
              <w:spacing w:line="240" w:lineRule="auto"/>
              <w:ind w:firstLine="480" w:firstLineChars="200"/>
              <w:rPr>
                <w:rFonts w:ascii="仿宋" w:hAnsi="仿宋" w:eastAsia="仿宋" w:cs="仿宋"/>
              </w:rPr>
            </w:pPr>
            <w:r>
              <w:rPr>
                <w:rFonts w:hint="eastAsia" w:ascii="仿宋" w:hAnsi="仿宋" w:eastAsia="仿宋" w:cs="仿宋"/>
              </w:rPr>
              <w:t>（四）省级以上</w:t>
            </w:r>
            <w:r>
              <w:rPr>
                <w:rFonts w:hint="eastAsia" w:ascii="仿宋" w:hAnsi="仿宋" w:eastAsia="仿宋" w:cs="仿宋"/>
                <w:strike/>
                <w:color w:val="0070C0"/>
              </w:rPr>
              <w:t>（直辖市或较大的市可为市级）</w:t>
            </w:r>
            <w:r>
              <w:rPr>
                <w:rFonts w:hint="eastAsia" w:ascii="仿宋" w:hAnsi="仿宋" w:eastAsia="仿宋" w:cs="仿宋"/>
              </w:rPr>
              <w:t>重要报纸的认定以及获得国际级学术（科技）竞赛奖励的加分由学院学业奖学金评审委员会予以确定。</w:t>
            </w:r>
          </w:p>
          <w:p>
            <w:pPr>
              <w:spacing w:line="240" w:lineRule="auto"/>
              <w:ind w:firstLine="480" w:firstLineChars="200"/>
              <w:rPr>
                <w:rFonts w:ascii="仿宋" w:hAnsi="仿宋" w:eastAsia="仿宋" w:cs="仿宋"/>
              </w:rPr>
            </w:pPr>
            <w:r>
              <w:rPr>
                <w:rFonts w:hint="eastAsia" w:ascii="仿宋" w:hAnsi="仿宋" w:eastAsia="仿宋" w:cs="仿宋"/>
              </w:rPr>
              <w:t>（五）如遇申请者分数相同情况，由学院学业奖学金评审委员会根据申请者发表论文的刊物级别、篇数，平时学习态度、学习成绩、参加学院公益活动、集体活动情况、综合表现等确定获奖者。</w:t>
            </w:r>
          </w:p>
          <w:p>
            <w:pPr>
              <w:spacing w:line="240" w:lineRule="auto"/>
              <w:ind w:firstLine="480" w:firstLineChars="200"/>
              <w:rPr>
                <w:rFonts w:ascii="仿宋" w:hAnsi="仿宋" w:eastAsia="仿宋" w:cs="仿宋"/>
              </w:rPr>
            </w:pPr>
            <w:r>
              <w:rPr>
                <w:rFonts w:hint="eastAsia" w:ascii="仿宋" w:hAnsi="仿宋" w:eastAsia="仿宋" w:cs="仿宋"/>
              </w:rPr>
              <w:t>（六）其他未尽事宜由学院学业奖学金评审委员会研究决定。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第十六条</w:t>
            </w:r>
            <w:r>
              <w:rPr>
                <w:rFonts w:hint="eastAsia" w:ascii="仿宋" w:hAnsi="仿宋" w:eastAsia="仿宋" w:cs="仿宋"/>
                <w:sz w:val="22"/>
                <w:szCs w:val="22"/>
              </w:rPr>
              <w:t xml:space="preserve">  </w:t>
            </w:r>
            <w:r>
              <w:rPr>
                <w:rFonts w:hint="eastAsia" w:ascii="仿宋" w:hAnsi="仿宋" w:eastAsia="仿宋" w:cs="仿宋"/>
                <w:b/>
                <w:bCs/>
                <w:sz w:val="22"/>
                <w:szCs w:val="22"/>
              </w:rPr>
              <w:t>【参评研究成果的署名及使用】</w:t>
            </w:r>
            <w:r>
              <w:rPr>
                <w:rFonts w:hint="eastAsia" w:ascii="仿宋" w:hAnsi="仿宋" w:eastAsia="仿宋" w:cs="仿宋"/>
                <w:sz w:val="22"/>
                <w:szCs w:val="22"/>
              </w:rPr>
              <w:t>研究生老生参评研究成果必须以“华南农业大学”</w:t>
            </w:r>
            <w:r>
              <w:rPr>
                <w:rFonts w:hint="eastAsia" w:ascii="仿宋" w:hAnsi="仿宋" w:eastAsia="仿宋" w:cs="仿宋"/>
                <w:color w:val="FF0000"/>
                <w:sz w:val="22"/>
                <w:szCs w:val="22"/>
              </w:rPr>
              <w:t>或“华南农业大学人文与法学学院”</w:t>
            </w:r>
            <w:r>
              <w:rPr>
                <w:rFonts w:hint="eastAsia" w:ascii="仿宋" w:hAnsi="仿宋" w:eastAsia="仿宋" w:cs="仿宋"/>
                <w:sz w:val="22"/>
                <w:szCs w:val="22"/>
              </w:rPr>
              <w:t>为第一署名单位。</w:t>
            </w:r>
          </w:p>
          <w:p>
            <w:pPr>
              <w:spacing w:line="240" w:lineRule="auto"/>
              <w:ind w:firstLine="440" w:firstLineChars="200"/>
              <w:rPr>
                <w:rFonts w:ascii="仿宋" w:hAnsi="仿宋" w:eastAsia="仿宋" w:cs="仿宋"/>
                <w:color w:val="FF0000"/>
                <w:sz w:val="22"/>
                <w:szCs w:val="22"/>
              </w:rPr>
            </w:pPr>
            <w:r>
              <w:rPr>
                <w:rFonts w:hint="eastAsia" w:ascii="仿宋" w:hAnsi="仿宋" w:eastAsia="仿宋" w:cs="仿宋"/>
                <w:sz w:val="22"/>
                <w:szCs w:val="22"/>
              </w:rPr>
              <w:t>参评研究成果须提供导师对该研究成果是否符合学术规范、是否遵守学术道德的鉴定意见。</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参评研究成果不得重复使用。</w:t>
            </w:r>
          </w:p>
        </w:tc>
        <w:tc>
          <w:tcPr>
            <w:tcW w:w="2500" w:type="pct"/>
            <w:vMerge w:val="continue"/>
            <w:vAlign w:val="center"/>
          </w:tcPr>
          <w:p>
            <w:pPr>
              <w:spacing w:line="240" w:lineRule="auto"/>
              <w:ind w:firstLine="420" w:firstLineChars="20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第十七条</w:t>
            </w:r>
            <w:r>
              <w:rPr>
                <w:rFonts w:hint="eastAsia" w:ascii="仿宋" w:hAnsi="仿宋" w:eastAsia="仿宋" w:cs="仿宋"/>
                <w:sz w:val="22"/>
                <w:szCs w:val="22"/>
              </w:rPr>
              <w:t xml:space="preserve">  </w:t>
            </w:r>
            <w:r>
              <w:rPr>
                <w:rFonts w:hint="eastAsia" w:ascii="仿宋" w:hAnsi="仿宋" w:eastAsia="仿宋" w:cs="仿宋"/>
                <w:b/>
                <w:bCs/>
                <w:sz w:val="22"/>
                <w:szCs w:val="22"/>
              </w:rPr>
              <w:t>【荣誉级别的分类】</w:t>
            </w:r>
            <w:r>
              <w:rPr>
                <w:rFonts w:hint="eastAsia" w:ascii="仿宋" w:hAnsi="仿宋" w:eastAsia="仿宋" w:cs="仿宋"/>
                <w:sz w:val="22"/>
                <w:szCs w:val="22"/>
              </w:rPr>
              <w:t>所获荣誉的级别分为国家级、省级、市(校)级、院级。</w:t>
            </w:r>
          </w:p>
        </w:tc>
        <w:tc>
          <w:tcPr>
            <w:tcW w:w="2500" w:type="pct"/>
            <w:vMerge w:val="continue"/>
            <w:vAlign w:val="center"/>
          </w:tcPr>
          <w:p>
            <w:pPr>
              <w:spacing w:line="240" w:lineRule="auto"/>
              <w:ind w:firstLine="480" w:firstLineChars="20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第十八条</w:t>
            </w:r>
            <w:r>
              <w:rPr>
                <w:rFonts w:hint="eastAsia" w:ascii="仿宋" w:hAnsi="仿宋" w:eastAsia="仿宋" w:cs="仿宋"/>
                <w:sz w:val="22"/>
                <w:szCs w:val="22"/>
              </w:rPr>
              <w:t xml:space="preserve">  </w:t>
            </w:r>
            <w:r>
              <w:rPr>
                <w:rFonts w:hint="eastAsia" w:ascii="仿宋" w:hAnsi="仿宋" w:eastAsia="仿宋" w:cs="仿宋"/>
                <w:b/>
                <w:bCs/>
                <w:sz w:val="22"/>
                <w:szCs w:val="22"/>
              </w:rPr>
              <w:t>【国家级荣誉】</w:t>
            </w:r>
            <w:r>
              <w:rPr>
                <w:rFonts w:hint="eastAsia" w:ascii="仿宋" w:hAnsi="仿宋" w:eastAsia="仿宋" w:cs="仿宋"/>
                <w:sz w:val="22"/>
                <w:szCs w:val="22"/>
              </w:rPr>
              <w:t>国家级荣誉由国家部委及以上单位表彰并加盖相关部门公章。</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第十九条</w:t>
            </w:r>
            <w:r>
              <w:rPr>
                <w:rFonts w:hint="eastAsia" w:ascii="仿宋" w:hAnsi="仿宋" w:eastAsia="仿宋" w:cs="仿宋"/>
                <w:sz w:val="22"/>
                <w:szCs w:val="22"/>
              </w:rPr>
              <w:t xml:space="preserve">  </w:t>
            </w:r>
            <w:r>
              <w:rPr>
                <w:rFonts w:hint="eastAsia" w:ascii="仿宋" w:hAnsi="仿宋" w:eastAsia="仿宋" w:cs="仿宋"/>
                <w:b/>
                <w:bCs/>
                <w:sz w:val="22"/>
                <w:szCs w:val="22"/>
              </w:rPr>
              <w:t>【省级荣誉】</w:t>
            </w:r>
            <w:r>
              <w:rPr>
                <w:rFonts w:hint="eastAsia" w:ascii="仿宋" w:hAnsi="仿宋" w:eastAsia="仿宋" w:cs="仿宋"/>
                <w:sz w:val="22"/>
                <w:szCs w:val="22"/>
              </w:rPr>
              <w:t>省级荣誉由省(自治区、直辖市)政府及厅(局、委、办)、省级事业单位表彰并加盖相关部门公章。</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第二十条</w:t>
            </w:r>
            <w:r>
              <w:rPr>
                <w:rFonts w:hint="eastAsia" w:ascii="仿宋" w:hAnsi="仿宋" w:eastAsia="仿宋" w:cs="仿宋"/>
                <w:sz w:val="22"/>
                <w:szCs w:val="22"/>
              </w:rPr>
              <w:t xml:space="preserve">  </w:t>
            </w:r>
            <w:r>
              <w:rPr>
                <w:rFonts w:hint="eastAsia" w:ascii="仿宋" w:hAnsi="仿宋" w:eastAsia="仿宋" w:cs="仿宋"/>
                <w:b/>
                <w:bCs/>
                <w:sz w:val="22"/>
                <w:szCs w:val="22"/>
              </w:rPr>
              <w:t>【市级荣誉】</w:t>
            </w:r>
            <w:r>
              <w:rPr>
                <w:rFonts w:hint="eastAsia" w:ascii="仿宋" w:hAnsi="仿宋" w:eastAsia="仿宋" w:cs="仿宋"/>
                <w:sz w:val="22"/>
                <w:szCs w:val="22"/>
              </w:rPr>
              <w:t>市级荣誉由市政府及局(委、办)、市级事业单位表彰并加盖相关部门公章。</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行业内、系统内表彰的，按市级荣誉认定。</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第二十一条</w:t>
            </w:r>
            <w:r>
              <w:rPr>
                <w:rFonts w:hint="eastAsia" w:ascii="仿宋" w:hAnsi="仿宋" w:eastAsia="仿宋" w:cs="仿宋"/>
                <w:sz w:val="22"/>
                <w:szCs w:val="22"/>
              </w:rPr>
              <w:t xml:space="preserve">  </w:t>
            </w:r>
            <w:r>
              <w:rPr>
                <w:rFonts w:hint="eastAsia" w:ascii="仿宋" w:hAnsi="仿宋" w:eastAsia="仿宋" w:cs="仿宋"/>
                <w:b/>
                <w:bCs/>
                <w:sz w:val="22"/>
                <w:szCs w:val="22"/>
              </w:rPr>
              <w:t>【校级荣誉】</w:t>
            </w:r>
            <w:r>
              <w:rPr>
                <w:rFonts w:hint="eastAsia" w:ascii="仿宋" w:hAnsi="仿宋" w:eastAsia="仿宋" w:cs="仿宋"/>
                <w:sz w:val="22"/>
                <w:szCs w:val="22"/>
              </w:rPr>
              <w:t>校级荣誉由学校各部处表彰并加盖学校行政章、学校党委章、各部处公章或学校团委章。</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校级组织或院级组织经学校相关部处批准、举行的全校及以上范围的比赛所表彰的，除有特殊说明外，按校级荣誉认定。</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第二十二条</w:t>
            </w:r>
            <w:r>
              <w:rPr>
                <w:rFonts w:hint="eastAsia" w:ascii="仿宋" w:hAnsi="仿宋" w:eastAsia="仿宋" w:cs="仿宋"/>
                <w:sz w:val="22"/>
                <w:szCs w:val="22"/>
              </w:rPr>
              <w:t xml:space="preserve">  </w:t>
            </w:r>
            <w:r>
              <w:rPr>
                <w:rFonts w:hint="eastAsia" w:ascii="仿宋" w:hAnsi="仿宋" w:eastAsia="仿宋" w:cs="仿宋"/>
                <w:b/>
                <w:bCs/>
                <w:sz w:val="22"/>
                <w:szCs w:val="22"/>
              </w:rPr>
              <w:t>【院级荣誉】</w:t>
            </w:r>
            <w:r>
              <w:rPr>
                <w:rFonts w:hint="eastAsia" w:ascii="仿宋" w:hAnsi="仿宋" w:eastAsia="仿宋" w:cs="仿宋"/>
                <w:sz w:val="22"/>
                <w:szCs w:val="22"/>
              </w:rPr>
              <w:t>院级荣誉由学院表彰并加盖学院行政章、学院党委章或学院团委章。</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校级组织内部表彰、院级组织表彰和已在民政部门登记的社会组织、机构表彰的，按院级荣誉认定。</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第二十三条</w:t>
            </w:r>
            <w:r>
              <w:rPr>
                <w:rFonts w:hint="eastAsia" w:ascii="仿宋" w:hAnsi="仿宋" w:eastAsia="仿宋" w:cs="仿宋"/>
                <w:sz w:val="22"/>
                <w:szCs w:val="22"/>
              </w:rPr>
              <w:t xml:space="preserve">  </w:t>
            </w:r>
            <w:r>
              <w:rPr>
                <w:rFonts w:hint="eastAsia" w:ascii="仿宋" w:hAnsi="仿宋" w:eastAsia="仿宋" w:cs="仿宋"/>
                <w:b/>
                <w:bCs/>
                <w:sz w:val="22"/>
                <w:szCs w:val="22"/>
              </w:rPr>
              <w:t>【荣誉级别的其他认定规则】</w:t>
            </w:r>
            <w:r>
              <w:rPr>
                <w:rFonts w:hint="eastAsia" w:ascii="仿宋" w:hAnsi="仿宋" w:eastAsia="仿宋" w:cs="仿宋"/>
                <w:sz w:val="22"/>
                <w:szCs w:val="22"/>
              </w:rPr>
              <w:t>各级荣誉应有证书证明，并有明确的落款单位、盖章和日期。</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证书缺盖相应级别公章，</w:t>
            </w:r>
            <w:r>
              <w:rPr>
                <w:rFonts w:hint="eastAsia" w:ascii="仿宋" w:hAnsi="仿宋" w:eastAsia="仿宋" w:cs="仿宋"/>
                <w:color w:val="FF0000"/>
                <w:sz w:val="22"/>
                <w:szCs w:val="22"/>
              </w:rPr>
              <w:t>但经查实参评者获得相应级别荣誉确有其事的</w:t>
            </w:r>
            <w:r>
              <w:rPr>
                <w:rFonts w:hint="eastAsia" w:ascii="仿宋" w:hAnsi="仿宋" w:eastAsia="仿宋" w:cs="仿宋"/>
                <w:sz w:val="22"/>
                <w:szCs w:val="22"/>
              </w:rPr>
              <w:t>，降一级认定。</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企业内部及未登记的社会组织、机构表彰，不予认定。</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因参加同一活动、比赛、项目，因同一研究成果，或在同一评优周期内因参与社会工作，获得多项荣誉或多次表彰的，</w:t>
            </w:r>
            <w:r>
              <w:rPr>
                <w:rFonts w:hint="eastAsia" w:ascii="仿宋" w:hAnsi="仿宋" w:eastAsia="仿宋" w:cs="仿宋"/>
                <w:color w:val="FF0000"/>
                <w:sz w:val="22"/>
                <w:szCs w:val="22"/>
              </w:rPr>
              <w:t>以获得分值较高的一项荣誉或一次表彰论</w:t>
            </w:r>
            <w:r>
              <w:rPr>
                <w:rFonts w:hint="eastAsia" w:ascii="仿宋" w:hAnsi="仿宋" w:eastAsia="仿宋" w:cs="仿宋"/>
                <w:sz w:val="22"/>
                <w:szCs w:val="22"/>
              </w:rPr>
              <w:t>。</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“优秀研究生(干部)奖学金”、“优秀硕士毕业论文奖”、“研究生学业奖学金”、“国家奖学金”、企业或实验室设立的奖助学金等奖励金荣誉，不是本实施细则所称的荣誉。</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第二十四条</w:t>
            </w:r>
            <w:r>
              <w:rPr>
                <w:rFonts w:hint="eastAsia" w:ascii="仿宋" w:hAnsi="仿宋" w:eastAsia="仿宋" w:cs="仿宋"/>
                <w:sz w:val="22"/>
                <w:szCs w:val="22"/>
              </w:rPr>
              <w:t xml:space="preserve">  </w:t>
            </w:r>
            <w:r>
              <w:rPr>
                <w:rFonts w:hint="eastAsia" w:ascii="仿宋" w:hAnsi="仿宋" w:eastAsia="仿宋" w:cs="仿宋"/>
                <w:b/>
                <w:bCs/>
                <w:sz w:val="22"/>
                <w:szCs w:val="22"/>
              </w:rPr>
              <w:t>【学术论文的界定】</w:t>
            </w:r>
            <w:r>
              <w:rPr>
                <w:rFonts w:hint="eastAsia" w:ascii="仿宋" w:hAnsi="仿宋" w:eastAsia="仿宋" w:cs="仿宋"/>
                <w:sz w:val="22"/>
                <w:szCs w:val="22"/>
              </w:rPr>
              <w:t>学术论文，是指在国内外公开发行的学术刊物上发表的</w:t>
            </w:r>
            <w:r>
              <w:rPr>
                <w:rFonts w:hint="eastAsia" w:ascii="仿宋" w:hAnsi="仿宋" w:eastAsia="仿宋" w:cs="仿宋"/>
                <w:color w:val="FF0000"/>
                <w:sz w:val="22"/>
                <w:szCs w:val="22"/>
              </w:rPr>
              <w:t>与本专业相关的</w:t>
            </w:r>
            <w:r>
              <w:rPr>
                <w:rFonts w:hint="eastAsia" w:ascii="仿宋" w:hAnsi="仿宋" w:eastAsia="仿宋" w:cs="仿宋"/>
                <w:sz w:val="22"/>
                <w:szCs w:val="22"/>
              </w:rPr>
              <w:t>论文。</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发表于学术刊物的“增刊、特刊、专刊、专辑”的学术论文，发表于非法期刊的学术论文，不属于本实施细则所称的学术论文。</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学术论文的刊出时间，须在参评年度内。</w:t>
            </w:r>
          </w:p>
        </w:tc>
        <w:tc>
          <w:tcPr>
            <w:tcW w:w="2500" w:type="pct"/>
            <w:vMerge w:val="continue"/>
            <w:vAlign w:val="center"/>
          </w:tcPr>
          <w:p>
            <w:pPr>
              <w:spacing w:line="240" w:lineRule="auto"/>
              <w:ind w:firstLine="480" w:firstLineChars="20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sz w:val="22"/>
                <w:szCs w:val="22"/>
              </w:rPr>
            </w:pPr>
            <w:r>
              <w:rPr>
                <w:rFonts w:hint="eastAsia" w:ascii="仿宋" w:hAnsi="仿宋" w:eastAsia="仿宋"/>
                <w:b/>
                <w:bCs/>
                <w:sz w:val="22"/>
                <w:szCs w:val="22"/>
              </w:rPr>
              <w:t>第二十五条  【学术论文的等级】</w:t>
            </w:r>
            <w:r>
              <w:rPr>
                <w:rFonts w:hint="eastAsia" w:ascii="仿宋" w:hAnsi="仿宋" w:eastAsia="仿宋"/>
                <w:sz w:val="22"/>
                <w:szCs w:val="22"/>
              </w:rPr>
              <w:t>根据《华南农业大学学术论文评价方案（试行）》（华南农办〔2021〕27号），将学术论文分为以下五个等级：</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455"/>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7"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级别</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6"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T1类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ind w:firstLine="420" w:firstLineChars="200"/>
                    <w:rPr>
                      <w:rFonts w:eastAsia="仿宋"/>
                      <w:sz w:val="21"/>
                      <w:szCs w:val="21"/>
                    </w:rPr>
                  </w:pPr>
                  <w:r>
                    <w:rPr>
                      <w:rFonts w:ascii="仿宋" w:hAnsi="仿宋" w:eastAsia="仿宋"/>
                      <w:sz w:val="21"/>
                      <w:szCs w:val="21"/>
                    </w:rPr>
                    <w:t>发表在《Nature》《Science》《Cell》《中国社会科学》上的学术论文</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T2类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①</w:t>
                  </w:r>
                  <w:r>
                    <w:rPr>
                      <w:rFonts w:ascii="仿宋" w:hAnsi="仿宋" w:eastAsia="仿宋"/>
                      <w:sz w:val="21"/>
                      <w:szCs w:val="21"/>
                    </w:rPr>
                    <w:t>发表在中国科技期刊卓越行动计划领军期刊上的学术论文</w:t>
                  </w:r>
                  <w:r>
                    <w:rPr>
                      <w:rFonts w:hint="eastAsia" w:ascii="仿宋" w:hAnsi="仿宋" w:eastAsia="仿宋"/>
                      <w:sz w:val="21"/>
                      <w:szCs w:val="21"/>
                    </w:rPr>
                    <w:t>；</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②</w:t>
                  </w:r>
                  <w:r>
                    <w:rPr>
                      <w:rFonts w:ascii="仿宋" w:hAnsi="仿宋" w:eastAsia="仿宋"/>
                      <w:sz w:val="21"/>
                      <w:szCs w:val="21"/>
                    </w:rPr>
                    <w:t>发表在被SCI/SSCI一区收录期刊上的学术论文</w:t>
                  </w:r>
                  <w:r>
                    <w:rPr>
                      <w:rFonts w:hint="eastAsia" w:ascii="仿宋" w:hAnsi="仿宋" w:eastAsia="仿宋"/>
                      <w:sz w:val="21"/>
                      <w:szCs w:val="21"/>
                    </w:rPr>
                    <w:t>；</w:t>
                  </w:r>
                </w:p>
                <w:p>
                  <w:pPr>
                    <w:snapToGrid w:val="0"/>
                    <w:spacing w:line="240" w:lineRule="auto"/>
                    <w:ind w:firstLine="420" w:firstLineChars="200"/>
                    <w:rPr>
                      <w:rFonts w:eastAsia="仿宋"/>
                      <w:sz w:val="21"/>
                      <w:szCs w:val="21"/>
                    </w:rPr>
                  </w:pPr>
                  <w:r>
                    <w:rPr>
                      <w:rFonts w:hint="eastAsia" w:ascii="仿宋" w:hAnsi="仿宋" w:eastAsia="仿宋"/>
                      <w:sz w:val="21"/>
                      <w:szCs w:val="21"/>
                    </w:rPr>
                    <w:t>③</w:t>
                  </w:r>
                  <w:r>
                    <w:rPr>
                      <w:rFonts w:ascii="仿宋" w:hAnsi="仿宋" w:eastAsia="仿宋"/>
                      <w:sz w:val="21"/>
                      <w:szCs w:val="21"/>
                    </w:rPr>
                    <w:t>发表在《科学通报》《管理世界》《经济研究》《历史研究》《政治学研究》《法学研究》《哲学研究》《文学评论》上的学术论文</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A类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①</w:t>
                  </w:r>
                  <w:r>
                    <w:rPr>
                      <w:rFonts w:ascii="仿宋" w:hAnsi="仿宋" w:eastAsia="仿宋"/>
                      <w:sz w:val="21"/>
                      <w:szCs w:val="21"/>
                    </w:rPr>
                    <w:t>发表在中国科技期刊卓越行动计划重点期刊上的学术论文</w:t>
                  </w:r>
                  <w:r>
                    <w:rPr>
                      <w:rFonts w:hint="eastAsia" w:ascii="仿宋" w:hAnsi="仿宋" w:eastAsia="仿宋"/>
                      <w:sz w:val="21"/>
                      <w:szCs w:val="21"/>
                    </w:rPr>
                    <w:t>；</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②</w:t>
                  </w:r>
                  <w:r>
                    <w:rPr>
                      <w:rFonts w:ascii="仿宋" w:hAnsi="仿宋" w:eastAsia="仿宋"/>
                      <w:sz w:val="21"/>
                      <w:szCs w:val="21"/>
                    </w:rPr>
                    <w:t>发表在被SCI/SSCI二区收录期刊上的学术论文</w:t>
                  </w:r>
                  <w:r>
                    <w:rPr>
                      <w:rFonts w:hint="eastAsia" w:ascii="仿宋" w:hAnsi="仿宋" w:eastAsia="仿宋"/>
                      <w:sz w:val="21"/>
                      <w:szCs w:val="21"/>
                    </w:rPr>
                    <w:t>；</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③</w:t>
                  </w:r>
                  <w:r>
                    <w:rPr>
                      <w:rFonts w:ascii="仿宋" w:hAnsi="仿宋" w:eastAsia="仿宋"/>
                      <w:sz w:val="21"/>
                      <w:szCs w:val="21"/>
                    </w:rPr>
                    <w:t>发表在北大中文核心期刊要目总览自然科学类学科分类排名第</w:t>
                  </w:r>
                  <w:r>
                    <w:rPr>
                      <w:rFonts w:hint="eastAsia" w:ascii="仿宋" w:hAnsi="仿宋" w:eastAsia="仿宋"/>
                      <w:sz w:val="21"/>
                      <w:szCs w:val="21"/>
                    </w:rPr>
                    <w:t>一</w:t>
                  </w:r>
                  <w:r>
                    <w:rPr>
                      <w:rFonts w:ascii="仿宋" w:hAnsi="仿宋" w:eastAsia="仿宋"/>
                      <w:sz w:val="21"/>
                      <w:szCs w:val="21"/>
                    </w:rPr>
                    <w:t>（综合性科学技术排名前</w:t>
                  </w:r>
                  <w:r>
                    <w:rPr>
                      <w:rFonts w:hint="eastAsia" w:ascii="仿宋" w:hAnsi="仿宋" w:eastAsia="仿宋"/>
                      <w:sz w:val="21"/>
                      <w:szCs w:val="21"/>
                    </w:rPr>
                    <w:t>三</w:t>
                  </w:r>
                  <w:r>
                    <w:rPr>
                      <w:rFonts w:ascii="仿宋" w:hAnsi="仿宋" w:eastAsia="仿宋"/>
                      <w:sz w:val="21"/>
                      <w:szCs w:val="21"/>
                    </w:rPr>
                    <w:t>，第</w:t>
                  </w:r>
                  <w:r>
                    <w:rPr>
                      <w:rFonts w:hint="eastAsia" w:ascii="仿宋" w:hAnsi="仿宋" w:eastAsia="仿宋"/>
                      <w:sz w:val="21"/>
                      <w:szCs w:val="21"/>
                    </w:rPr>
                    <w:t>一</w:t>
                  </w:r>
                  <w:r>
                    <w:rPr>
                      <w:rFonts w:ascii="仿宋" w:hAnsi="仿宋" w:eastAsia="仿宋"/>
                      <w:sz w:val="21"/>
                      <w:szCs w:val="21"/>
                    </w:rPr>
                    <w:t>或前</w:t>
                  </w:r>
                  <w:r>
                    <w:rPr>
                      <w:rFonts w:hint="eastAsia" w:ascii="仿宋" w:hAnsi="仿宋" w:eastAsia="仿宋"/>
                      <w:sz w:val="21"/>
                      <w:szCs w:val="21"/>
                    </w:rPr>
                    <w:t>三</w:t>
                  </w:r>
                  <w:r>
                    <w:rPr>
                      <w:rFonts w:ascii="仿宋" w:hAnsi="仿宋" w:eastAsia="仿宋"/>
                      <w:sz w:val="21"/>
                      <w:szCs w:val="21"/>
                    </w:rPr>
                    <w:t>的期刊已列入T1、T2类的，按排名顺延）</w:t>
                  </w:r>
                  <w:r>
                    <w:rPr>
                      <w:rFonts w:hint="eastAsia" w:ascii="仿宋" w:hAnsi="仿宋" w:eastAsia="仿宋"/>
                      <w:sz w:val="21"/>
                      <w:szCs w:val="21"/>
                    </w:rPr>
                    <w:t>的</w:t>
                  </w:r>
                  <w:r>
                    <w:rPr>
                      <w:rFonts w:ascii="仿宋" w:hAnsi="仿宋" w:eastAsia="仿宋"/>
                      <w:sz w:val="21"/>
                      <w:szCs w:val="21"/>
                    </w:rPr>
                    <w:t>期刊上的学术论文</w:t>
                  </w:r>
                  <w:r>
                    <w:rPr>
                      <w:rFonts w:hint="eastAsia" w:ascii="仿宋" w:hAnsi="仿宋" w:eastAsia="仿宋"/>
                      <w:sz w:val="21"/>
                      <w:szCs w:val="21"/>
                    </w:rPr>
                    <w:t>；</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④</w:t>
                  </w:r>
                  <w:r>
                    <w:rPr>
                      <w:rFonts w:ascii="仿宋" w:hAnsi="仿宋" w:eastAsia="仿宋"/>
                      <w:sz w:val="21"/>
                      <w:szCs w:val="21"/>
                    </w:rPr>
                    <w:t>发表在北大中文核心期刊要目总览人文社会科学类学科分类排名第</w:t>
                  </w:r>
                  <w:r>
                    <w:rPr>
                      <w:rFonts w:hint="eastAsia" w:ascii="仿宋" w:hAnsi="仿宋" w:eastAsia="仿宋"/>
                      <w:sz w:val="21"/>
                      <w:szCs w:val="21"/>
                    </w:rPr>
                    <w:t>一</w:t>
                  </w:r>
                  <w:r>
                    <w:rPr>
                      <w:rFonts w:ascii="仿宋" w:hAnsi="仿宋" w:eastAsia="仿宋"/>
                      <w:sz w:val="21"/>
                      <w:szCs w:val="21"/>
                    </w:rPr>
                    <w:t>（综合性人文、社会科学排名前</w:t>
                  </w:r>
                  <w:r>
                    <w:rPr>
                      <w:rFonts w:hint="eastAsia" w:ascii="仿宋" w:hAnsi="仿宋" w:eastAsia="仿宋"/>
                      <w:sz w:val="21"/>
                      <w:szCs w:val="21"/>
                    </w:rPr>
                    <w:t>三</w:t>
                  </w:r>
                  <w:r>
                    <w:rPr>
                      <w:rFonts w:ascii="仿宋" w:hAnsi="仿宋" w:eastAsia="仿宋"/>
                      <w:sz w:val="21"/>
                      <w:szCs w:val="21"/>
                    </w:rPr>
                    <w:t>，第</w:t>
                  </w:r>
                  <w:r>
                    <w:rPr>
                      <w:rFonts w:hint="eastAsia" w:ascii="仿宋" w:hAnsi="仿宋" w:eastAsia="仿宋"/>
                      <w:sz w:val="21"/>
                      <w:szCs w:val="21"/>
                    </w:rPr>
                    <w:t>一</w:t>
                  </w:r>
                  <w:r>
                    <w:rPr>
                      <w:rFonts w:ascii="仿宋" w:hAnsi="仿宋" w:eastAsia="仿宋"/>
                      <w:sz w:val="21"/>
                      <w:szCs w:val="21"/>
                    </w:rPr>
                    <w:t>或前</w:t>
                  </w:r>
                  <w:r>
                    <w:rPr>
                      <w:rFonts w:hint="eastAsia" w:ascii="仿宋" w:hAnsi="仿宋" w:eastAsia="仿宋"/>
                      <w:sz w:val="21"/>
                      <w:szCs w:val="21"/>
                    </w:rPr>
                    <w:t>三</w:t>
                  </w:r>
                  <w:r>
                    <w:rPr>
                      <w:rFonts w:ascii="仿宋" w:hAnsi="仿宋" w:eastAsia="仿宋"/>
                      <w:sz w:val="21"/>
                      <w:szCs w:val="21"/>
                    </w:rPr>
                    <w:t>的期刊已列入T1、T2类的，按排名顺延）且同时为中文社会科学引文索引（CSSCI）来源期刊（不含扩展版）上的学术论文</w:t>
                  </w:r>
                  <w:r>
                    <w:rPr>
                      <w:rFonts w:hint="eastAsia" w:ascii="仿宋" w:hAnsi="仿宋" w:eastAsia="仿宋"/>
                      <w:sz w:val="21"/>
                      <w:szCs w:val="21"/>
                    </w:rPr>
                    <w:t>；</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⑤</w:t>
                  </w:r>
                  <w:r>
                    <w:rPr>
                      <w:rFonts w:ascii="仿宋" w:hAnsi="仿宋" w:eastAsia="仿宋"/>
                      <w:sz w:val="21"/>
                      <w:szCs w:val="21"/>
                    </w:rPr>
                    <w:t>被《中国社会科学文摘》和《新华文摘》转载的学术论文（主体转载，</w:t>
                  </w:r>
                  <w:r>
                    <w:rPr>
                      <w:rFonts w:hint="eastAsia" w:ascii="仿宋" w:hAnsi="仿宋" w:eastAsia="仿宋"/>
                      <w:sz w:val="21"/>
                      <w:szCs w:val="21"/>
                    </w:rPr>
                    <w:t>三千</w:t>
                  </w:r>
                  <w:r>
                    <w:rPr>
                      <w:rFonts w:ascii="仿宋" w:hAnsi="仿宋" w:eastAsia="仿宋"/>
                      <w:sz w:val="21"/>
                      <w:szCs w:val="21"/>
                    </w:rPr>
                    <w:t>字以上）</w:t>
                  </w:r>
                  <w:r>
                    <w:rPr>
                      <w:rFonts w:hint="eastAsia" w:ascii="仿宋" w:hAnsi="仿宋" w:eastAsia="仿宋"/>
                      <w:sz w:val="21"/>
                      <w:szCs w:val="21"/>
                    </w:rPr>
                    <w:t>；</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⑥</w:t>
                  </w:r>
                  <w:r>
                    <w:rPr>
                      <w:rFonts w:ascii="仿宋" w:hAnsi="仿宋" w:eastAsia="仿宋"/>
                      <w:sz w:val="21"/>
                      <w:szCs w:val="21"/>
                    </w:rPr>
                    <w:t>发表在《求是》《人民日报》《光明日报》《经济日报》上的理论文章</w:t>
                  </w:r>
                  <w:r>
                    <w:rPr>
                      <w:rFonts w:hint="eastAsia" w:ascii="仿宋" w:hAnsi="仿宋" w:eastAsia="仿宋"/>
                      <w:sz w:val="21"/>
                      <w:szCs w:val="21"/>
                    </w:rPr>
                    <w:t>；</w:t>
                  </w:r>
                </w:p>
                <w:p>
                  <w:pPr>
                    <w:snapToGrid w:val="0"/>
                    <w:spacing w:line="240" w:lineRule="auto"/>
                    <w:ind w:firstLine="420" w:firstLineChars="200"/>
                    <w:rPr>
                      <w:rFonts w:eastAsia="仿宋"/>
                      <w:sz w:val="21"/>
                      <w:szCs w:val="21"/>
                    </w:rPr>
                  </w:pPr>
                  <w:r>
                    <w:rPr>
                      <w:rFonts w:hint="eastAsia" w:ascii="仿宋" w:hAnsi="仿宋" w:eastAsia="仿宋"/>
                      <w:sz w:val="21"/>
                      <w:szCs w:val="21"/>
                    </w:rPr>
                    <w:t>⑦</w:t>
                  </w:r>
                  <w:r>
                    <w:rPr>
                      <w:rFonts w:ascii="仿宋" w:hAnsi="仿宋" w:eastAsia="仿宋"/>
                      <w:sz w:val="21"/>
                      <w:szCs w:val="21"/>
                    </w:rPr>
                    <w:t>发表在《马克思主义研究》《马克思主义与现实》《装饰》上的学术论文</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B类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①</w:t>
                  </w:r>
                  <w:r>
                    <w:rPr>
                      <w:rFonts w:ascii="仿宋" w:hAnsi="仿宋" w:eastAsia="仿宋"/>
                      <w:sz w:val="21"/>
                      <w:szCs w:val="21"/>
                    </w:rPr>
                    <w:t>发表在中国科技期刊卓越行动计划梯队期刊上的学术论文</w:t>
                  </w:r>
                  <w:r>
                    <w:rPr>
                      <w:rFonts w:hint="eastAsia" w:ascii="仿宋" w:hAnsi="仿宋" w:eastAsia="仿宋"/>
                      <w:sz w:val="21"/>
                      <w:szCs w:val="21"/>
                    </w:rPr>
                    <w:t>；</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②</w:t>
                  </w:r>
                  <w:r>
                    <w:rPr>
                      <w:rFonts w:ascii="仿宋" w:hAnsi="仿宋" w:eastAsia="仿宋"/>
                      <w:sz w:val="21"/>
                      <w:szCs w:val="21"/>
                    </w:rPr>
                    <w:t>发表在被SCI/SSCI三区、四区收录期刊上的学术论文；</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③</w:t>
                  </w:r>
                  <w:r>
                    <w:rPr>
                      <w:rFonts w:ascii="仿宋" w:hAnsi="仿宋" w:eastAsia="仿宋"/>
                      <w:sz w:val="21"/>
                      <w:szCs w:val="21"/>
                    </w:rPr>
                    <w:t>发表在北大中文核心期刊要目总览自然科学类学科分类排名前25%期刊上的学术论文</w:t>
                  </w:r>
                  <w:r>
                    <w:rPr>
                      <w:rFonts w:hint="eastAsia" w:ascii="仿宋" w:hAnsi="仿宋" w:eastAsia="仿宋"/>
                      <w:sz w:val="21"/>
                      <w:szCs w:val="21"/>
                    </w:rPr>
                    <w:t>；</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④</w:t>
                  </w:r>
                  <w:r>
                    <w:rPr>
                      <w:rFonts w:ascii="仿宋" w:hAnsi="仿宋" w:eastAsia="仿宋"/>
                      <w:sz w:val="21"/>
                      <w:szCs w:val="21"/>
                    </w:rPr>
                    <w:t>发表在北大中心核心期刊要目总览人文社会科学类学科分类排名前25%，且同时为中文社会科学引文索引（CSSCI）来源期刊（不含扩展版）上的学术论文；</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⑤</w:t>
                  </w:r>
                  <w:r>
                    <w:rPr>
                      <w:rFonts w:ascii="仿宋" w:hAnsi="仿宋" w:eastAsia="仿宋"/>
                      <w:sz w:val="21"/>
                      <w:szCs w:val="21"/>
                    </w:rPr>
                    <w:t>被《中国社会科学文摘》和《新华文摘》论点摘编的学术论文，被中国人民大学《复印报刊资料》全文转载的学术论文；</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⑥</w:t>
                  </w:r>
                  <w:r>
                    <w:rPr>
                      <w:rFonts w:ascii="仿宋" w:hAnsi="仿宋" w:eastAsia="仿宋"/>
                      <w:sz w:val="21"/>
                      <w:szCs w:val="21"/>
                    </w:rPr>
                    <w:t>发表在被A&amp;HCI收录期刊上的学术论文（仅限体育、外语、艺术类学科），发表在被EI收录期刊上的学术论文（仅限农业工程、林业工程、水利工程、土木工程学科，检索类型为JA）；</w:t>
                  </w:r>
                </w:p>
                <w:p>
                  <w:pPr>
                    <w:snapToGrid w:val="0"/>
                    <w:spacing w:line="240" w:lineRule="auto"/>
                    <w:ind w:firstLine="420" w:firstLineChars="200"/>
                    <w:rPr>
                      <w:rFonts w:eastAsia="仿宋"/>
                      <w:sz w:val="21"/>
                      <w:szCs w:val="21"/>
                    </w:rPr>
                  </w:pPr>
                  <w:r>
                    <w:rPr>
                      <w:rFonts w:hint="eastAsia" w:ascii="仿宋" w:hAnsi="仿宋" w:eastAsia="仿宋"/>
                      <w:sz w:val="21"/>
                      <w:szCs w:val="21"/>
                    </w:rPr>
                    <w:t>⑦</w:t>
                  </w:r>
                  <w:r>
                    <w:rPr>
                      <w:rFonts w:ascii="仿宋" w:hAnsi="仿宋" w:eastAsia="仿宋"/>
                      <w:sz w:val="21"/>
                      <w:szCs w:val="21"/>
                    </w:rPr>
                    <w:t>发表在《华南农业大学学报》《美术与设计》上的学术论文</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62"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C类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①</w:t>
                  </w:r>
                  <w:r>
                    <w:rPr>
                      <w:rFonts w:ascii="仿宋" w:hAnsi="仿宋" w:eastAsia="仿宋"/>
                      <w:sz w:val="21"/>
                      <w:szCs w:val="21"/>
                    </w:rPr>
                    <w:t>发表在中国科技期刊卓越行动计划高起点新刊上的学术论文；</w:t>
                  </w:r>
                </w:p>
                <w:p>
                  <w:pPr>
                    <w:snapToGrid w:val="0"/>
                    <w:spacing w:line="240" w:lineRule="auto"/>
                    <w:ind w:firstLine="420" w:firstLineChars="200"/>
                    <w:rPr>
                      <w:rFonts w:ascii="仿宋" w:hAnsi="仿宋" w:eastAsia="仿宋"/>
                      <w:sz w:val="21"/>
                      <w:szCs w:val="21"/>
                    </w:rPr>
                  </w:pPr>
                  <w:r>
                    <w:rPr>
                      <w:rFonts w:hint="eastAsia" w:ascii="仿宋" w:hAnsi="仿宋" w:eastAsia="仿宋"/>
                      <w:sz w:val="21"/>
                      <w:szCs w:val="21"/>
                    </w:rPr>
                    <w:t>②</w:t>
                  </w:r>
                  <w:r>
                    <w:rPr>
                      <w:rFonts w:ascii="仿宋" w:hAnsi="仿宋" w:eastAsia="仿宋"/>
                      <w:sz w:val="21"/>
                      <w:szCs w:val="21"/>
                    </w:rPr>
                    <w:t>发表在北大中文核心期刊和中文社会科学引文索引（CSSCI）来源期刊上、未列入以上T1、T2、A、B类的学术论文；</w:t>
                  </w:r>
                </w:p>
                <w:p>
                  <w:pPr>
                    <w:snapToGrid w:val="0"/>
                    <w:spacing w:line="240" w:lineRule="auto"/>
                    <w:ind w:firstLine="420" w:firstLineChars="200"/>
                    <w:rPr>
                      <w:rFonts w:eastAsia="仿宋"/>
                      <w:sz w:val="21"/>
                      <w:szCs w:val="21"/>
                    </w:rPr>
                  </w:pPr>
                  <w:r>
                    <w:rPr>
                      <w:rFonts w:hint="eastAsia" w:ascii="仿宋" w:hAnsi="仿宋" w:eastAsia="仿宋"/>
                      <w:sz w:val="21"/>
                      <w:szCs w:val="21"/>
                    </w:rPr>
                    <w:t>③</w:t>
                  </w:r>
                  <w:r>
                    <w:rPr>
                      <w:rFonts w:ascii="仿宋" w:hAnsi="仿宋" w:eastAsia="仿宋"/>
                      <w:sz w:val="21"/>
                      <w:szCs w:val="21"/>
                    </w:rPr>
                    <w:t>发表在《日语学习与研究》上的学术论文</w:t>
                  </w:r>
                  <w:r>
                    <w:rPr>
                      <w:rFonts w:hint="eastAsia" w:ascii="仿宋" w:hAnsi="仿宋" w:eastAsia="仿宋"/>
                      <w:sz w:val="21"/>
                      <w:szCs w:val="21"/>
                    </w:rPr>
                    <w:t>。</w:t>
                  </w:r>
                </w:p>
              </w:tc>
            </w:tr>
          </w:tbl>
          <w:p>
            <w:pPr>
              <w:spacing w:line="240" w:lineRule="auto"/>
              <w:ind w:firstLine="440" w:firstLineChars="200"/>
              <w:rPr>
                <w:rFonts w:ascii="仿宋" w:hAnsi="仿宋" w:eastAsia="仿宋"/>
                <w:sz w:val="22"/>
                <w:szCs w:val="22"/>
              </w:rPr>
            </w:pPr>
            <w:r>
              <w:rPr>
                <w:rFonts w:hint="eastAsia" w:ascii="仿宋" w:hAnsi="仿宋" w:eastAsia="仿宋"/>
                <w:sz w:val="22"/>
                <w:szCs w:val="22"/>
              </w:rPr>
              <w:t>一般学术刊物，是指除前款所涉刊物外，国内外公开发行的其他学术刊物、非核心期刊。</w:t>
            </w:r>
          </w:p>
        </w:tc>
        <w:tc>
          <w:tcPr>
            <w:tcW w:w="2500" w:type="pct"/>
            <w:vMerge w:val="continue"/>
            <w:vAlign w:val="center"/>
          </w:tcPr>
          <w:p>
            <w:pPr>
              <w:spacing w:line="240" w:lineRule="auto"/>
              <w:ind w:firstLine="480" w:firstLineChars="20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第二十六条</w:t>
            </w:r>
            <w:r>
              <w:rPr>
                <w:rFonts w:hint="eastAsia" w:ascii="仿宋" w:hAnsi="仿宋" w:eastAsia="仿宋" w:cs="仿宋"/>
                <w:sz w:val="22"/>
                <w:szCs w:val="22"/>
              </w:rPr>
              <w:t xml:space="preserve">  </w:t>
            </w:r>
            <w:r>
              <w:rPr>
                <w:rFonts w:hint="eastAsia" w:ascii="仿宋" w:hAnsi="仿宋" w:eastAsia="仿宋" w:cs="仿宋"/>
                <w:b/>
                <w:bCs/>
                <w:sz w:val="22"/>
                <w:szCs w:val="22"/>
              </w:rPr>
              <w:t>【著作的界定】</w:t>
            </w:r>
            <w:r>
              <w:rPr>
                <w:rFonts w:hint="eastAsia" w:ascii="仿宋" w:hAnsi="仿宋" w:eastAsia="仿宋" w:cs="仿宋"/>
                <w:sz w:val="22"/>
                <w:szCs w:val="22"/>
              </w:rPr>
              <w:t>著作</w:t>
            </w:r>
            <w:r>
              <w:rPr>
                <w:rFonts w:hint="eastAsia" w:ascii="仿宋" w:hAnsi="仿宋" w:eastAsia="仿宋" w:cs="仿宋"/>
                <w:color w:val="FF0000"/>
                <w:sz w:val="22"/>
                <w:szCs w:val="22"/>
              </w:rPr>
              <w:t>，</w:t>
            </w:r>
            <w:r>
              <w:rPr>
                <w:rFonts w:hint="eastAsia" w:ascii="仿宋" w:hAnsi="仿宋" w:eastAsia="仿宋" w:cs="仿宋"/>
                <w:sz w:val="22"/>
                <w:szCs w:val="22"/>
              </w:rPr>
              <w:t>是指取得ISBN统一书号、公开出版发行的本专业学术专著、编著、高校教材、译著、工具书、科普著作。</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著作作者以著作版权页标明为准。主编或排名第一位的作者认定为第一作者；排名第一位的副主编或排名第二位的作者认定为第二作者；排名在副主编以后的，以参编者论。未具名于著作版权页的，不是本实施细则所称的著作作者。</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著作的出版时间，须在参评年度内。</w:t>
            </w:r>
          </w:p>
        </w:tc>
        <w:tc>
          <w:tcPr>
            <w:tcW w:w="2500" w:type="pct"/>
            <w:vMerge w:val="continue"/>
            <w:vAlign w:val="center"/>
          </w:tcPr>
          <w:p>
            <w:pPr>
              <w:spacing w:line="240" w:lineRule="auto"/>
              <w:ind w:firstLine="480" w:firstLineChars="20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第二十七条</w:t>
            </w:r>
            <w:r>
              <w:rPr>
                <w:rFonts w:hint="eastAsia" w:ascii="仿宋" w:hAnsi="仿宋" w:eastAsia="仿宋" w:cs="仿宋"/>
                <w:sz w:val="22"/>
                <w:szCs w:val="22"/>
              </w:rPr>
              <w:t xml:space="preserve">  </w:t>
            </w:r>
            <w:r>
              <w:rPr>
                <w:rFonts w:hint="eastAsia" w:ascii="仿宋" w:hAnsi="仿宋" w:eastAsia="仿宋" w:cs="仿宋"/>
                <w:b/>
                <w:bCs/>
                <w:sz w:val="22"/>
                <w:szCs w:val="22"/>
              </w:rPr>
              <w:t>【学科竞赛的界定】</w:t>
            </w:r>
            <w:r>
              <w:rPr>
                <w:rFonts w:hint="eastAsia" w:ascii="仿宋" w:hAnsi="仿宋" w:eastAsia="仿宋" w:cs="仿宋"/>
                <w:sz w:val="22"/>
                <w:szCs w:val="22"/>
              </w:rPr>
              <w:t>学科竞赛</w:t>
            </w:r>
            <w:r>
              <w:rPr>
                <w:rFonts w:hint="eastAsia" w:ascii="仿宋" w:hAnsi="仿宋" w:eastAsia="仿宋" w:cs="仿宋"/>
                <w:color w:val="FF0000"/>
                <w:sz w:val="22"/>
                <w:szCs w:val="22"/>
              </w:rPr>
              <w:t>，</w:t>
            </w:r>
            <w:r>
              <w:rPr>
                <w:rFonts w:hint="eastAsia" w:ascii="仿宋" w:hAnsi="仿宋" w:eastAsia="仿宋" w:cs="仿宋"/>
                <w:sz w:val="22"/>
                <w:szCs w:val="22"/>
              </w:rPr>
              <w:t>是指由省级及以上行政管理部门、党团组织、学会、协会、学校、学院等主办的基础学科、专业技术应用和发明创新相关的竞赛。</w:t>
            </w:r>
          </w:p>
          <w:p>
            <w:pPr>
              <w:spacing w:line="240" w:lineRule="auto"/>
              <w:ind w:firstLine="440" w:firstLineChars="200"/>
              <w:rPr>
                <w:rFonts w:ascii="仿宋" w:hAnsi="仿宋" w:eastAsia="仿宋" w:cs="仿宋"/>
                <w:sz w:val="22"/>
                <w:szCs w:val="22"/>
              </w:rPr>
            </w:pPr>
            <w:r>
              <w:rPr>
                <w:rFonts w:hint="eastAsia" w:ascii="仿宋" w:hAnsi="仿宋" w:eastAsia="仿宋" w:cs="仿宋"/>
                <w:sz w:val="22"/>
                <w:szCs w:val="22"/>
              </w:rPr>
              <w:t>竞赛获奖应提供加盖相关部门公章的获奖证书</w:t>
            </w:r>
            <w:r>
              <w:rPr>
                <w:rFonts w:hint="eastAsia" w:ascii="仿宋" w:hAnsi="仿宋" w:eastAsia="仿宋" w:cs="仿宋"/>
                <w:color w:val="FF0000"/>
                <w:sz w:val="22"/>
                <w:szCs w:val="22"/>
              </w:rPr>
              <w:t>复印件</w:t>
            </w:r>
            <w:r>
              <w:rPr>
                <w:rFonts w:hint="eastAsia" w:ascii="仿宋" w:hAnsi="仿宋" w:eastAsia="仿宋" w:cs="仿宋"/>
                <w:sz w:val="22"/>
                <w:szCs w:val="22"/>
              </w:rPr>
              <w:t>，并有明确的落款单位和日期。</w:t>
            </w:r>
          </w:p>
          <w:p>
            <w:pPr>
              <w:spacing w:line="240" w:lineRule="auto"/>
              <w:ind w:firstLine="440" w:firstLineChars="200"/>
              <w:rPr>
                <w:rFonts w:ascii="仿宋" w:hAnsi="仿宋" w:eastAsia="仿宋" w:cs="仿宋"/>
                <w:sz w:val="22"/>
                <w:szCs w:val="22"/>
              </w:rPr>
            </w:pPr>
            <w:r>
              <w:rPr>
                <w:rFonts w:hint="eastAsia" w:ascii="仿宋" w:hAnsi="仿宋" w:eastAsia="仿宋" w:cs="仿宋"/>
                <w:color w:val="FF0000"/>
                <w:sz w:val="22"/>
                <w:szCs w:val="22"/>
              </w:rPr>
              <w:t>本实施细则所称的学科竞赛包括《华南农业大学学生竞赛奖励办法》（华南农办〔2022〕38号）附件1中的竞赛以及经学院学业奖学金评审委员会认可的其他竞赛。</w:t>
            </w:r>
          </w:p>
        </w:tc>
        <w:tc>
          <w:tcPr>
            <w:tcW w:w="2500" w:type="pct"/>
            <w:vMerge w:val="continue"/>
            <w:vAlign w:val="center"/>
          </w:tcPr>
          <w:p>
            <w:pPr>
              <w:spacing w:line="240" w:lineRule="auto"/>
              <w:ind w:firstLine="480" w:firstLineChars="20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第二十八条</w:t>
            </w:r>
            <w:r>
              <w:rPr>
                <w:rFonts w:hint="eastAsia" w:ascii="仿宋" w:hAnsi="仿宋" w:eastAsia="仿宋" w:cs="仿宋"/>
                <w:sz w:val="22"/>
                <w:szCs w:val="22"/>
              </w:rPr>
              <w:t xml:space="preserve">  </w:t>
            </w:r>
            <w:r>
              <w:rPr>
                <w:rFonts w:hint="eastAsia" w:ascii="仿宋" w:hAnsi="仿宋" w:eastAsia="仿宋" w:cs="仿宋"/>
                <w:b/>
                <w:bCs/>
                <w:sz w:val="22"/>
                <w:szCs w:val="22"/>
              </w:rPr>
              <w:t>【其他参评成果的认定】</w:t>
            </w:r>
            <w:r>
              <w:rPr>
                <w:rFonts w:hint="eastAsia" w:ascii="仿宋" w:hAnsi="仿宋" w:eastAsia="仿宋" w:cs="仿宋"/>
                <w:sz w:val="22"/>
                <w:szCs w:val="22"/>
              </w:rPr>
              <w:t>省级以上重要报纸的认定以及获得国际级学术（科技）竞赛奖励的加分由学院学业奖学金评审委员会予以确定。</w:t>
            </w:r>
          </w:p>
        </w:tc>
        <w:tc>
          <w:tcPr>
            <w:tcW w:w="2500" w:type="pct"/>
            <w:vMerge w:val="continue"/>
            <w:vAlign w:val="center"/>
          </w:tcPr>
          <w:p>
            <w:pPr>
              <w:spacing w:line="240" w:lineRule="auto"/>
              <w:ind w:firstLine="480" w:firstLineChars="20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第二十九条</w:t>
            </w:r>
            <w:r>
              <w:rPr>
                <w:rFonts w:hint="eastAsia" w:ascii="仿宋" w:hAnsi="仿宋" w:eastAsia="仿宋" w:cs="仿宋"/>
                <w:sz w:val="22"/>
                <w:szCs w:val="22"/>
              </w:rPr>
              <w:t xml:space="preserve">  </w:t>
            </w:r>
            <w:r>
              <w:rPr>
                <w:rFonts w:hint="eastAsia" w:ascii="仿宋" w:hAnsi="仿宋" w:eastAsia="仿宋" w:cs="仿宋"/>
                <w:b/>
                <w:bCs/>
                <w:sz w:val="22"/>
                <w:szCs w:val="22"/>
              </w:rPr>
              <w:t>【申请者分数相同的处理】</w:t>
            </w:r>
            <w:r>
              <w:rPr>
                <w:rFonts w:hint="eastAsia" w:ascii="仿宋" w:hAnsi="仿宋" w:eastAsia="仿宋" w:cs="仿宋"/>
                <w:sz w:val="22"/>
                <w:szCs w:val="22"/>
              </w:rPr>
              <w:t>申请者分数相同的，由学院学业奖学金评审委员会根据申请者平时参加学院公益活动、集体活动情况,学习态度、学习成绩，发表论文的刊物级别、篇数等综合表现确定获奖者。</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500" w:type="pct"/>
            <w:vAlign w:val="center"/>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第三十条</w:t>
            </w:r>
            <w:r>
              <w:rPr>
                <w:rFonts w:hint="eastAsia" w:ascii="仿宋" w:hAnsi="仿宋" w:eastAsia="仿宋" w:cs="仿宋"/>
                <w:sz w:val="22"/>
                <w:szCs w:val="22"/>
              </w:rPr>
              <w:t xml:space="preserve">  </w:t>
            </w:r>
            <w:r>
              <w:rPr>
                <w:rFonts w:hint="eastAsia" w:ascii="仿宋" w:hAnsi="仿宋" w:eastAsia="仿宋" w:cs="仿宋"/>
                <w:b/>
                <w:bCs/>
                <w:sz w:val="22"/>
                <w:szCs w:val="22"/>
              </w:rPr>
              <w:t>【参评不诚信的后果】</w:t>
            </w:r>
            <w:r>
              <w:rPr>
                <w:rFonts w:hint="eastAsia" w:ascii="仿宋" w:hAnsi="仿宋" w:eastAsia="仿宋" w:cs="仿宋"/>
                <w:sz w:val="22"/>
                <w:szCs w:val="22"/>
              </w:rPr>
              <w:t>参评者提供的材料必须真实可信，如有弄虚作假，取消参评资格，并根据《华南农业大学学生违纪处分实施办法》（华南农办〔2017〕101号）的规定给予严肃处理。</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240" w:lineRule="auto"/>
              <w:ind w:firstLine="442" w:firstLineChars="200"/>
              <w:rPr>
                <w:rFonts w:ascii="仿宋" w:hAnsi="仿宋" w:eastAsia="仿宋" w:cs="仿宋"/>
                <w:sz w:val="22"/>
                <w:szCs w:val="22"/>
              </w:rPr>
            </w:pPr>
            <w:r>
              <w:rPr>
                <w:rFonts w:hint="eastAsia" w:ascii="仿宋" w:hAnsi="仿宋" w:eastAsia="仿宋" w:cs="仿宋"/>
                <w:b/>
                <w:bCs/>
                <w:sz w:val="22"/>
                <w:szCs w:val="22"/>
              </w:rPr>
              <w:t>第三十一条</w:t>
            </w:r>
            <w:r>
              <w:rPr>
                <w:rFonts w:hint="eastAsia" w:ascii="仿宋" w:hAnsi="仿宋" w:eastAsia="仿宋" w:cs="仿宋"/>
                <w:sz w:val="22"/>
                <w:szCs w:val="22"/>
              </w:rPr>
              <w:t xml:space="preserve">  </w:t>
            </w:r>
            <w:r>
              <w:rPr>
                <w:rFonts w:hint="eastAsia" w:ascii="仿宋" w:hAnsi="仿宋" w:eastAsia="仿宋" w:cs="仿宋"/>
                <w:b/>
                <w:bCs/>
                <w:sz w:val="22"/>
                <w:szCs w:val="22"/>
              </w:rPr>
              <w:t>【学院学业奖学金评审委员会的决定权】</w:t>
            </w:r>
            <w:r>
              <w:rPr>
                <w:rFonts w:hint="eastAsia" w:ascii="仿宋" w:hAnsi="仿宋" w:eastAsia="仿宋" w:cs="仿宋"/>
                <w:sz w:val="22"/>
                <w:szCs w:val="22"/>
              </w:rPr>
              <w:t>本实施细则的未尽事宜由学院学业奖学金评审委员会研究决定。</w:t>
            </w:r>
          </w:p>
        </w:tc>
        <w:tc>
          <w:tcPr>
            <w:tcW w:w="2500" w:type="pct"/>
            <w:vMerge w:val="continue"/>
            <w:vAlign w:val="center"/>
          </w:tcPr>
          <w:p>
            <w:pPr>
              <w:spacing w:line="240" w:lineRule="auto"/>
              <w:rPr>
                <w:rFonts w:ascii="仿宋" w:hAnsi="仿宋" w:eastAsia="仿宋" w:cs="仿宋"/>
              </w:rPr>
            </w:pPr>
          </w:p>
        </w:tc>
      </w:tr>
    </w:tbl>
    <w:p>
      <w:r>
        <w:br w:type="page"/>
      </w:r>
    </w:p>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0" w:type="pct"/>
            <w:vAlign w:val="center"/>
          </w:tcPr>
          <w:p>
            <w:pPr>
              <w:spacing w:line="240" w:lineRule="auto"/>
              <w:jc w:val="center"/>
              <w:rPr>
                <w:rFonts w:ascii="宋体" w:hAnsi="宋体" w:cs="宋体"/>
                <w:b/>
                <w:bCs/>
              </w:rPr>
            </w:pPr>
            <w:r>
              <w:rPr>
                <w:rFonts w:hint="eastAsia" w:ascii="宋体" w:hAnsi="宋体" w:cs="宋体"/>
                <w:b/>
                <w:bCs/>
              </w:rPr>
              <w:t>人文与法学学院研究生学业奖学金评选实施细则(2024年征求意见稿)</w:t>
            </w:r>
          </w:p>
        </w:tc>
        <w:tc>
          <w:tcPr>
            <w:tcW w:w="2500" w:type="pct"/>
            <w:vAlign w:val="center"/>
          </w:tcPr>
          <w:p>
            <w:pPr>
              <w:spacing w:line="240" w:lineRule="auto"/>
              <w:jc w:val="center"/>
              <w:rPr>
                <w:rFonts w:ascii="宋体" w:hAnsi="宋体" w:cs="宋体"/>
                <w:b/>
                <w:bCs/>
              </w:rPr>
            </w:pPr>
            <w:r>
              <w:rPr>
                <w:rFonts w:hint="eastAsia" w:ascii="宋体" w:hAnsi="宋体" w:cs="宋体"/>
                <w:b/>
                <w:bCs/>
              </w:rPr>
              <w:t>人文与法学学院研究生学业奖学金评选实施细则(2023 年修订稿)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第二编 分则</w:t>
            </w:r>
          </w:p>
        </w:tc>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第六部分 硕士研究生参评材料评分细则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0" w:type="pct"/>
            <w:vAlign w:val="center"/>
          </w:tcPr>
          <w:p>
            <w:pPr>
              <w:spacing w:line="240" w:lineRule="auto"/>
              <w:rPr>
                <w:rFonts w:ascii="仿宋" w:hAnsi="仿宋" w:eastAsia="仿宋" w:cs="仿宋"/>
                <w:b/>
                <w:bCs/>
              </w:rPr>
            </w:pPr>
            <w:r>
              <w:rPr>
                <w:rFonts w:hint="eastAsia" w:ascii="仿宋" w:hAnsi="仿宋" w:eastAsia="仿宋" w:cs="仿宋"/>
                <w:b/>
                <w:bCs/>
              </w:rPr>
              <w:t>第一章 一年级硕士研究生参评材料评分细则</w:t>
            </w:r>
          </w:p>
        </w:tc>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一、硕士新生学业奖学金参评方法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0" w:type="pct"/>
            <w:vAlign w:val="center"/>
          </w:tcPr>
          <w:p>
            <w:pPr>
              <w:ind w:firstLine="482" w:firstLineChars="200"/>
              <w:rPr>
                <w:rFonts w:ascii="仿宋" w:hAnsi="仿宋" w:eastAsia="仿宋" w:cs="仿宋"/>
                <w:b/>
                <w:bCs/>
              </w:rPr>
            </w:pPr>
            <w:r>
              <w:rPr>
                <w:rFonts w:hint="eastAsia" w:ascii="仿宋" w:hAnsi="仿宋" w:eastAsia="仿宋" w:cs="仿宋"/>
                <w:b/>
                <w:bCs/>
              </w:rPr>
              <w:t>第三十二条</w:t>
            </w:r>
            <w:r>
              <w:rPr>
                <w:rFonts w:hint="eastAsia" w:ascii="仿宋" w:hAnsi="仿宋" w:eastAsia="仿宋" w:cs="仿宋"/>
              </w:rPr>
              <w:t xml:space="preserve">  </w:t>
            </w:r>
            <w:r>
              <w:rPr>
                <w:rFonts w:hint="eastAsia" w:ascii="仿宋" w:hAnsi="仿宋" w:eastAsia="仿宋" w:cs="仿宋"/>
                <w:b/>
                <w:bCs/>
              </w:rPr>
              <w:t>【硕士推免新生获一等奖学金】</w:t>
            </w:r>
            <w:r>
              <w:rPr>
                <w:rFonts w:hint="eastAsia" w:ascii="仿宋" w:hAnsi="仿宋" w:eastAsia="仿宋" w:cs="仿宋"/>
              </w:rPr>
              <w:t>推免硕士研究生新生，直接评定为一等奖学金。</w:t>
            </w:r>
          </w:p>
        </w:tc>
        <w:tc>
          <w:tcPr>
            <w:tcW w:w="2500" w:type="pct"/>
            <w:vMerge w:val="restart"/>
            <w:vAlign w:val="center"/>
          </w:tcPr>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（一）推免硕士研究生新生，可直接评定为一等奖学金；</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（二）具备以下条件者优先申报一等奖学金，按优先权先后分别为：</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第一优先条件，第一志愿报考华南农业大学；</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第二优先条件，本科毕业于</w:t>
            </w:r>
            <w:r>
              <w:rPr>
                <w:rFonts w:hint="eastAsia" w:ascii="仿宋" w:hAnsi="仿宋" w:eastAsia="仿宋" w:cs="仿宋"/>
                <w:strike/>
                <w:color w:val="0070C0"/>
                <w:sz w:val="21"/>
                <w:szCs w:val="21"/>
              </w:rPr>
              <w:t>华南农业大学或其他</w:t>
            </w:r>
            <w:r>
              <w:rPr>
                <w:rFonts w:hint="eastAsia" w:ascii="仿宋" w:hAnsi="仿宋" w:eastAsia="仿宋" w:cs="仿宋"/>
                <w:sz w:val="21"/>
                <w:szCs w:val="21"/>
              </w:rPr>
              <w:t>“双一流”高校；</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第三优先条件，公开发表学术论文，在省级以上学科竞赛中取得过良好成绩。</w:t>
            </w:r>
          </w:p>
          <w:p>
            <w:pPr>
              <w:spacing w:line="240" w:lineRule="auto"/>
              <w:ind w:firstLine="420" w:firstLineChars="200"/>
              <w:rPr>
                <w:rFonts w:ascii="仿宋" w:hAnsi="仿宋" w:eastAsia="仿宋" w:cs="仿宋"/>
                <w:sz w:val="21"/>
                <w:szCs w:val="21"/>
              </w:rPr>
            </w:pPr>
            <w:r>
              <w:rPr>
                <w:rFonts w:hint="eastAsia" w:ascii="仿宋" w:hAnsi="仿宋" w:eastAsia="仿宋" w:cs="仿宋"/>
                <w:strike/>
                <w:color w:val="0070C0"/>
                <w:sz w:val="21"/>
                <w:szCs w:val="21"/>
              </w:rPr>
              <w:t>（三）不满足优先申报条件的研究生，按照“入学考试综合成绩专业排名分”进行排序，并根据排序结果评选硕士生新生奖学金。</w:t>
            </w:r>
          </w:p>
          <w:p>
            <w:pPr>
              <w:spacing w:line="240" w:lineRule="auto"/>
              <w:rPr>
                <w:rFonts w:ascii="仿宋" w:hAnsi="仿宋" w:eastAsia="仿宋" w:cs="仿宋"/>
                <w:strike/>
                <w:color w:val="0070C0"/>
                <w:sz w:val="21"/>
                <w:szCs w:val="21"/>
              </w:rPr>
            </w:pPr>
            <w:r>
              <w:rPr>
                <w:rFonts w:hint="eastAsia" w:ascii="仿宋" w:hAnsi="仿宋" w:eastAsia="仿宋" w:cs="仿宋"/>
                <w:sz w:val="21"/>
                <w:szCs w:val="21"/>
              </w:rPr>
              <w:t xml:space="preserve">   </w:t>
            </w:r>
            <w:r>
              <w:rPr>
                <w:rFonts w:hint="eastAsia" w:ascii="仿宋" w:hAnsi="仿宋" w:eastAsia="仿宋" w:cs="仿宋"/>
                <w:strike/>
                <w:color w:val="0070C0"/>
                <w:sz w:val="21"/>
                <w:szCs w:val="21"/>
              </w:rPr>
              <w:t xml:space="preserve"> 计算方法：“入学考试综合成绩专业排名分”=入学考试综合成绩/本专业入学考试综合成绩最高分*100</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入学考试综合成绩＝（初试总成绩/5）×50%＋复试成绩×50%</w:t>
            </w:r>
          </w:p>
          <w:p>
            <w:pPr>
              <w:spacing w:line="240" w:lineRule="auto"/>
              <w:rPr>
                <w:rFonts w:ascii="仿宋" w:hAnsi="仿宋" w:eastAsia="仿宋" w:cs="仿宋"/>
                <w:strike/>
                <w:color w:val="0070C0"/>
                <w:sz w:val="21"/>
                <w:szCs w:val="21"/>
              </w:rPr>
            </w:pPr>
            <w:r>
              <w:rPr>
                <w:rFonts w:hint="eastAsia" w:ascii="仿宋" w:hAnsi="仿宋" w:eastAsia="仿宋" w:cs="仿宋"/>
                <w:strike/>
                <w:color w:val="0070C0"/>
                <w:sz w:val="21"/>
                <w:szCs w:val="21"/>
              </w:rPr>
              <w:t>注：1.若“符合一等奖优先条件”的硕士生人数不超过一等奖学金获奖指标，则这部分硕士生全部获得一等奖学金，剩余名额由排序结果依次累进。</w:t>
            </w:r>
          </w:p>
          <w:p>
            <w:pPr>
              <w:spacing w:line="240" w:lineRule="auto"/>
              <w:ind w:firstLine="420" w:firstLineChars="200"/>
              <w:rPr>
                <w:rFonts w:ascii="仿宋" w:hAnsi="仿宋" w:eastAsia="仿宋" w:cs="仿宋"/>
                <w:strike/>
                <w:color w:val="0070C0"/>
                <w:sz w:val="21"/>
                <w:szCs w:val="21"/>
              </w:rPr>
            </w:pPr>
            <w:r>
              <w:rPr>
                <w:rFonts w:hint="eastAsia" w:ascii="仿宋" w:hAnsi="仿宋" w:eastAsia="仿宋" w:cs="仿宋"/>
                <w:strike/>
                <w:color w:val="0070C0"/>
                <w:sz w:val="21"/>
                <w:szCs w:val="21"/>
              </w:rPr>
              <w:t>2．若“符合一等奖优先条件”的硕士生人数超过一等奖学金获奖指标，则根据优先条件排序择优确定一等奖获得者。具体排序方式如下：第一优先权的排在最前面，不具备第一优先权但具备第二优先权的紧随其后，以后以此类推。若具备相同优先权，则参考次级优先权，直至排序成功。若出现根据优先权完全相同的硕士生，则按照“入学考试综合成绩专业排名分”进行排序。</w:t>
            </w:r>
          </w:p>
          <w:p>
            <w:pPr>
              <w:spacing w:line="240" w:lineRule="auto"/>
              <w:ind w:firstLine="420" w:firstLineChars="200"/>
              <w:rPr>
                <w:rFonts w:ascii="仿宋" w:hAnsi="仿宋" w:eastAsia="仿宋" w:cs="仿宋"/>
                <w:strike/>
                <w:color w:val="0070C0"/>
                <w:sz w:val="21"/>
                <w:szCs w:val="21"/>
              </w:rPr>
            </w:pPr>
            <w:r>
              <w:rPr>
                <w:rFonts w:hint="eastAsia" w:ascii="仿宋" w:hAnsi="仿宋" w:eastAsia="仿宋" w:cs="仿宋"/>
                <w:strike/>
                <w:color w:val="0070C0"/>
                <w:sz w:val="21"/>
                <w:szCs w:val="21"/>
              </w:rPr>
              <w:t>3.“符合一等奖优先条件”的硕士生未评上一等奖学金者，一般自动获得二等奖学金。若这部分硕士生人数超过二等奖学金，则依旧按照优先条件排序择优，并根据结果依次获得各级奖学金。</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4.如果出现入学考试综合成绩相同</w:t>
            </w:r>
            <w:r>
              <w:rPr>
                <w:rFonts w:hint="eastAsia" w:ascii="仿宋" w:hAnsi="仿宋" w:eastAsia="仿宋" w:cs="仿宋"/>
                <w:strike/>
                <w:color w:val="0070C0"/>
                <w:sz w:val="21"/>
                <w:szCs w:val="21"/>
              </w:rPr>
              <w:t>，且仍需进行排序的情况时，</w:t>
            </w:r>
            <w:r>
              <w:rPr>
                <w:rFonts w:hint="eastAsia" w:ascii="仿宋" w:hAnsi="仿宋" w:eastAsia="仿宋" w:cs="仿宋"/>
                <w:sz w:val="21"/>
                <w:szCs w:val="21"/>
              </w:rPr>
              <w:t>则按照初试成绩进行排序，并根据排序结果确定先后顺序。</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5.依照上述内容仍存在结果相同且需要排序的情况时，则最终由人文与法学学院奖学金评审委员会评定。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2500" w:type="pct"/>
            <w:vAlign w:val="center"/>
          </w:tcPr>
          <w:p>
            <w:pPr>
              <w:ind w:firstLine="482" w:firstLineChars="200"/>
              <w:rPr>
                <w:rFonts w:ascii="仿宋" w:hAnsi="仿宋" w:eastAsia="仿宋" w:cs="仿宋"/>
              </w:rPr>
            </w:pPr>
            <w:r>
              <w:rPr>
                <w:rFonts w:hint="eastAsia" w:ascii="仿宋" w:hAnsi="仿宋" w:eastAsia="仿宋" w:cs="仿宋"/>
                <w:b/>
                <w:bCs/>
              </w:rPr>
              <w:t>第三十三条</w:t>
            </w:r>
            <w:r>
              <w:rPr>
                <w:rFonts w:hint="eastAsia" w:ascii="仿宋" w:hAnsi="仿宋" w:eastAsia="仿宋" w:cs="仿宋"/>
              </w:rPr>
              <w:t xml:space="preserve">  </w:t>
            </w:r>
            <w:r>
              <w:rPr>
                <w:rFonts w:hint="eastAsia" w:ascii="仿宋" w:hAnsi="仿宋" w:eastAsia="仿宋" w:cs="仿宋"/>
                <w:b/>
                <w:bCs/>
              </w:rPr>
              <w:t>【入学考试综合成绩的界定】</w:t>
            </w:r>
            <w:r>
              <w:rPr>
                <w:rFonts w:hint="eastAsia" w:ascii="仿宋" w:hAnsi="仿宋" w:eastAsia="仿宋" w:cs="仿宋"/>
              </w:rPr>
              <w:t>入学考试综合成绩＝初试总成绩×10%＋复试成绩×50%</w:t>
            </w:r>
          </w:p>
          <w:p>
            <w:pPr>
              <w:ind w:firstLine="482" w:firstLineChars="200"/>
              <w:rPr>
                <w:rFonts w:ascii="仿宋" w:hAnsi="仿宋" w:eastAsia="仿宋" w:cs="仿宋"/>
              </w:rPr>
            </w:pPr>
            <w:r>
              <w:rPr>
                <w:rFonts w:hint="eastAsia" w:ascii="仿宋" w:hAnsi="仿宋" w:eastAsia="仿宋" w:cs="仿宋"/>
                <w:b/>
                <w:bCs/>
              </w:rPr>
              <w:t>【硕士非推免新生的排名规则】</w:t>
            </w:r>
            <w:r>
              <w:rPr>
                <w:rFonts w:hint="eastAsia" w:ascii="仿宋" w:hAnsi="仿宋" w:eastAsia="仿宋" w:cs="仿宋"/>
                <w:color w:val="FF0000"/>
              </w:rPr>
              <w:t>按照入学考试综合成绩从高到低对本专业硕士非推免新生进行排序，入学考试综合成绩相同的，按照初试总成绩从高到低进行排序，初试总成绩也相同的，由学院奖学金评审委员会确定排序。</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2500" w:type="pct"/>
            <w:vAlign w:val="center"/>
          </w:tcPr>
          <w:p>
            <w:pPr>
              <w:ind w:firstLine="482" w:firstLineChars="200"/>
              <w:rPr>
                <w:rFonts w:ascii="仿宋" w:hAnsi="仿宋" w:eastAsia="仿宋" w:cs="仿宋"/>
              </w:rPr>
            </w:pPr>
            <w:r>
              <w:rPr>
                <w:rFonts w:hint="eastAsia" w:ascii="仿宋" w:hAnsi="仿宋" w:eastAsia="仿宋" w:cs="仿宋"/>
                <w:b/>
                <w:bCs/>
              </w:rPr>
              <w:t>第三十四条  【硕士非推免新生奖学金申报优先条件】</w:t>
            </w:r>
            <w:r>
              <w:rPr>
                <w:rFonts w:hint="eastAsia" w:ascii="仿宋" w:hAnsi="仿宋" w:eastAsia="仿宋" w:cs="仿宋"/>
              </w:rPr>
              <w:t>具备以下条件者优先申报奖学金：</w:t>
            </w:r>
          </w:p>
          <w:p>
            <w:pPr>
              <w:ind w:firstLine="480" w:firstLineChars="200"/>
              <w:rPr>
                <w:rFonts w:ascii="仿宋" w:hAnsi="仿宋" w:eastAsia="仿宋" w:cs="仿宋"/>
              </w:rPr>
            </w:pPr>
            <w:r>
              <w:rPr>
                <w:rFonts w:hint="eastAsia" w:ascii="仿宋" w:hAnsi="仿宋" w:eastAsia="仿宋" w:cs="仿宋"/>
              </w:rPr>
              <w:t>（一）第一优先条件：第一志愿报考华南农业大学；</w:t>
            </w:r>
          </w:p>
          <w:p>
            <w:pPr>
              <w:ind w:firstLine="480" w:firstLineChars="200"/>
              <w:rPr>
                <w:rFonts w:ascii="仿宋" w:hAnsi="仿宋" w:eastAsia="仿宋" w:cs="仿宋"/>
              </w:rPr>
            </w:pPr>
            <w:r>
              <w:rPr>
                <w:rFonts w:hint="eastAsia" w:ascii="仿宋" w:hAnsi="仿宋" w:eastAsia="仿宋" w:cs="仿宋"/>
              </w:rPr>
              <w:t>（二）第二优先条件：本科毕业于“双一流”高校；</w:t>
            </w:r>
          </w:p>
          <w:p>
            <w:pPr>
              <w:ind w:firstLine="480" w:firstLineChars="200"/>
              <w:rPr>
                <w:rFonts w:ascii="仿宋" w:hAnsi="仿宋" w:eastAsia="仿宋" w:cs="仿宋"/>
              </w:rPr>
            </w:pPr>
            <w:r>
              <w:rPr>
                <w:rFonts w:hint="eastAsia" w:ascii="仿宋" w:hAnsi="仿宋" w:eastAsia="仿宋" w:cs="仿宋"/>
              </w:rPr>
              <w:t>（三）第三优先条件：公开发表学术论文，在省级以上学科竞赛中取得过优异成绩。</w:t>
            </w:r>
          </w:p>
          <w:p>
            <w:pPr>
              <w:ind w:firstLine="480" w:firstLineChars="200"/>
              <w:rPr>
                <w:rFonts w:ascii="仿宋" w:hAnsi="仿宋" w:eastAsia="仿宋" w:cs="仿宋"/>
              </w:rPr>
            </w:pPr>
            <w:r>
              <w:rPr>
                <w:rFonts w:hint="eastAsia" w:ascii="仿宋" w:hAnsi="仿宋" w:eastAsia="仿宋" w:cs="仿宋"/>
                <w:color w:val="FF0000"/>
              </w:rPr>
              <w:t>同级优先条件具有相同的优先级别。</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500" w:type="pct"/>
          </w:tcPr>
          <w:p>
            <w:pPr>
              <w:ind w:firstLine="482" w:firstLineChars="200"/>
              <w:rPr>
                <w:rFonts w:ascii="仿宋" w:hAnsi="仿宋" w:eastAsia="仿宋" w:cs="仿宋"/>
              </w:rPr>
            </w:pPr>
            <w:r>
              <w:rPr>
                <w:rFonts w:hint="eastAsia" w:ascii="仿宋" w:hAnsi="仿宋" w:eastAsia="仿宋" w:cs="仿宋"/>
                <w:b/>
                <w:bCs/>
              </w:rPr>
              <w:t>第三十五条</w:t>
            </w:r>
            <w:r>
              <w:rPr>
                <w:rFonts w:hint="eastAsia" w:ascii="仿宋" w:hAnsi="仿宋" w:eastAsia="仿宋" w:cs="仿宋"/>
              </w:rPr>
              <w:t xml:space="preserve">  </w:t>
            </w:r>
            <w:r>
              <w:rPr>
                <w:rFonts w:hint="eastAsia" w:ascii="仿宋" w:hAnsi="仿宋" w:eastAsia="仿宋" w:cs="仿宋"/>
                <w:b/>
                <w:bCs/>
              </w:rPr>
              <w:t>【硕士非推免新生获奖等级的评选规则】</w:t>
            </w:r>
            <w:r>
              <w:rPr>
                <w:rFonts w:hint="eastAsia" w:ascii="仿宋" w:hAnsi="仿宋" w:eastAsia="仿宋" w:cs="仿宋"/>
                <w:color w:val="FF0000"/>
              </w:rPr>
              <w:t>综合考虑入学考试综合成绩排序结果、优先条件符合情况、各等级奖项指标，评选硕士非推免新生学业奖学金。</w:t>
            </w:r>
          </w:p>
        </w:tc>
        <w:tc>
          <w:tcPr>
            <w:tcW w:w="2500" w:type="pct"/>
            <w:vMerge w:val="continue"/>
            <w:vAlign w:val="center"/>
          </w:tcPr>
          <w:p>
            <w:pPr>
              <w:spacing w:line="24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00" w:type="pct"/>
            <w:vAlign w:val="center"/>
          </w:tcPr>
          <w:p>
            <w:pPr>
              <w:spacing w:line="240" w:lineRule="auto"/>
              <w:rPr>
                <w:rFonts w:ascii="仿宋" w:hAnsi="仿宋" w:eastAsia="仿宋" w:cs="仿宋"/>
                <w:b/>
                <w:bCs/>
                <w:highlight w:val="yellow"/>
              </w:rPr>
            </w:pPr>
            <w:r>
              <w:rPr>
                <w:rFonts w:hint="eastAsia" w:ascii="仿宋" w:hAnsi="仿宋" w:eastAsia="仿宋" w:cs="仿宋"/>
                <w:b/>
                <w:bCs/>
              </w:rPr>
              <w:t>第二章 二年级以上（含二年级）硕士研究生参评材料评分细则</w:t>
            </w:r>
          </w:p>
        </w:tc>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二、二年级以上（含二年级）研究生学业奖学金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第三十六条  【评选方式】</w:t>
            </w:r>
            <w:r>
              <w:rPr>
                <w:rFonts w:hint="eastAsia" w:ascii="仿宋" w:hAnsi="仿宋" w:eastAsia="仿宋" w:cs="仿宋"/>
              </w:rPr>
              <w:t>评选采取量化方式，对学生在校期间综合表现进行全面评价。综合表现包括思想道德品质和社会实践、学习成绩、科研和学术三个方面。</w:t>
            </w:r>
          </w:p>
        </w:tc>
        <w:tc>
          <w:tcPr>
            <w:tcW w:w="2500" w:type="pct"/>
          </w:tcPr>
          <w:p>
            <w:pPr>
              <w:spacing w:line="240" w:lineRule="auto"/>
              <w:ind w:firstLine="480" w:firstLineChars="200"/>
              <w:rPr>
                <w:rFonts w:ascii="仿宋" w:hAnsi="仿宋" w:eastAsia="仿宋" w:cs="仿宋"/>
              </w:rPr>
            </w:pPr>
            <w:r>
              <w:rPr>
                <w:rFonts w:hint="eastAsia" w:ascii="仿宋" w:hAnsi="仿宋" w:eastAsia="仿宋" w:cs="仿宋"/>
              </w:rPr>
              <w:t>评选采取量化方式，对学生在校期间综合表现进行全面评价。综合表现包括思想道德品质与社会实践、学习成绩、科研和学术三个方面，每项满分为100分。其中思想道德品质与社会实践占20%，学习成绩占30%，科研和学术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22" w:firstLineChars="200"/>
              <w:rPr>
                <w:rFonts w:ascii="仿宋" w:hAnsi="仿宋" w:eastAsia="仿宋" w:cs="仿宋"/>
                <w:b/>
                <w:bCs/>
                <w:sz w:val="21"/>
                <w:szCs w:val="21"/>
              </w:rPr>
            </w:pPr>
          </w:p>
        </w:tc>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（一）思想道德品质和社会实践（满分100，占20%）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color w:val="FF0000"/>
              </w:rPr>
            </w:pPr>
            <w:r>
              <w:rPr>
                <w:rFonts w:hint="eastAsia" w:ascii="仿宋" w:hAnsi="仿宋" w:eastAsia="仿宋" w:cs="仿宋"/>
                <w:b/>
                <w:bCs/>
              </w:rPr>
              <w:t>第三十七条  【思想品德班内互评分】</w:t>
            </w:r>
            <w:r>
              <w:rPr>
                <w:rFonts w:hint="eastAsia" w:ascii="仿宋" w:hAnsi="仿宋" w:eastAsia="仿宋" w:cs="仿宋"/>
                <w:color w:val="FF0000"/>
              </w:rPr>
              <w:t>针对学生的思想道德状况，如文明有礼、诚实守信、关心同学、与人为善、富有团队精神及合作意识、关心班集体等表现，班内参评人员开展互评，结合互评对象青年大学习参学率，得出学生思想品德班内互评分。</w:t>
            </w:r>
          </w:p>
          <w:p>
            <w:pPr>
              <w:spacing w:line="240" w:lineRule="auto"/>
              <w:ind w:firstLine="480" w:firstLineChars="200"/>
              <w:rPr>
                <w:rFonts w:ascii="仿宋" w:hAnsi="仿宋" w:eastAsia="仿宋" w:cs="仿宋"/>
                <w:color w:val="FF0000"/>
              </w:rPr>
            </w:pPr>
            <w:r>
              <w:rPr>
                <w:rFonts w:hint="eastAsia" w:ascii="仿宋" w:hAnsi="仿宋" w:eastAsia="仿宋" w:cs="仿宋"/>
                <w:color w:val="FF0000"/>
              </w:rPr>
              <w:t>思想品德班内互评分＝班内奖学金参评人员打分总和/班内奖学金参评人员人数+10×互评对象青年大学习参学率。</w:t>
            </w:r>
          </w:p>
          <w:p>
            <w:pPr>
              <w:spacing w:line="240" w:lineRule="auto"/>
              <w:ind w:firstLine="480" w:firstLineChars="200"/>
              <w:rPr>
                <w:rFonts w:ascii="仿宋" w:hAnsi="仿宋" w:eastAsia="仿宋" w:cs="仿宋"/>
                <w:b/>
                <w:bCs/>
                <w:sz w:val="21"/>
                <w:szCs w:val="21"/>
                <w:highlight w:val="yellow"/>
              </w:rPr>
            </w:pPr>
            <w:r>
              <w:rPr>
                <w:rFonts w:hint="eastAsia" w:ascii="仿宋" w:hAnsi="仿宋" w:eastAsia="仿宋" w:cs="仿宋"/>
                <w:color w:val="FF0000"/>
              </w:rPr>
              <w:t>思想品德班内互评分满分为30分。</w:t>
            </w:r>
          </w:p>
        </w:tc>
        <w:tc>
          <w:tcPr>
            <w:tcW w:w="2500" w:type="pct"/>
          </w:tcPr>
          <w:p>
            <w:pPr>
              <w:spacing w:line="240" w:lineRule="auto"/>
              <w:ind w:firstLine="480" w:firstLineChars="200"/>
              <w:rPr>
                <w:rFonts w:ascii="仿宋" w:hAnsi="仿宋" w:eastAsia="仿宋" w:cs="仿宋"/>
              </w:rPr>
            </w:pPr>
            <w:r>
              <w:rPr>
                <w:rFonts w:hint="eastAsia" w:ascii="仿宋" w:hAnsi="仿宋" w:eastAsia="仿宋" w:cs="仿宋"/>
              </w:rPr>
              <w:t>1.思想品德班内互评分，满分30分</w:t>
            </w:r>
          </w:p>
          <w:p>
            <w:pPr>
              <w:spacing w:line="240" w:lineRule="auto"/>
              <w:ind w:firstLine="480" w:firstLineChars="200"/>
              <w:rPr>
                <w:rFonts w:ascii="仿宋" w:hAnsi="仿宋" w:eastAsia="仿宋" w:cs="仿宋"/>
                <w:strike/>
                <w:color w:val="0070C0"/>
              </w:rPr>
            </w:pPr>
            <w:r>
              <w:rPr>
                <w:rFonts w:hint="eastAsia" w:ascii="仿宋" w:hAnsi="仿宋" w:eastAsia="仿宋" w:cs="仿宋"/>
                <w:strike/>
                <w:color w:val="0070C0"/>
              </w:rPr>
              <w:t>针对学生的思想道德状况，如文明有礼、诚实守信、关心同学、与人为善、富有团队精神及合作意识、关心班集体等表现，学生班内成员开展互评，结合学生本人自我评价，计算出学生班内互评得分。计算公式如下：</w:t>
            </w:r>
          </w:p>
          <w:p>
            <w:pPr>
              <w:spacing w:line="240" w:lineRule="auto"/>
              <w:ind w:firstLine="480" w:firstLineChars="200"/>
              <w:rPr>
                <w:rFonts w:ascii="仿宋" w:hAnsi="仿宋" w:eastAsia="仿宋" w:cs="仿宋"/>
              </w:rPr>
            </w:pPr>
            <w:r>
              <w:rPr>
                <w:rFonts w:hint="eastAsia" w:ascii="仿宋" w:hAnsi="仿宋" w:eastAsia="仿宋" w:cs="仿宋"/>
                <w:strike/>
                <w:color w:val="0070C0"/>
              </w:rPr>
              <w:t>班内互评分＝（个人自我评价得分＋其他所有参评人员打分总和）/班内所有参评人员人数。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第三十八条  【参加社会工作加分】</w:t>
            </w:r>
            <w:r>
              <w:rPr>
                <w:rFonts w:hint="eastAsia" w:ascii="仿宋" w:hAnsi="仿宋" w:eastAsia="仿宋" w:cs="仿宋"/>
              </w:rPr>
              <w:t>参加学生组织、学生党团组织及学校成立的其他组织，任期满一届，且尽职尽责，能够较好地完成本职工作，经群众评议，可以按照以下标准申请参加社会工作加分：</w:t>
            </w:r>
          </w:p>
          <w:p>
            <w:pPr>
              <w:spacing w:line="240" w:lineRule="auto"/>
              <w:ind w:firstLine="480" w:firstLineChars="200"/>
              <w:rPr>
                <w:rFonts w:ascii="仿宋" w:hAnsi="仿宋" w:eastAsia="仿宋" w:cs="仿宋"/>
              </w:rPr>
            </w:pPr>
            <w:r>
              <w:rPr>
                <w:rFonts w:hint="eastAsia" w:ascii="仿宋" w:hAnsi="仿宋" w:eastAsia="仿宋" w:cs="仿宋"/>
              </w:rPr>
              <w:t>（一）担任学校</w:t>
            </w:r>
            <w:r>
              <w:rPr>
                <w:rFonts w:hint="eastAsia" w:ascii="仿宋" w:hAnsi="仿宋" w:eastAsia="仿宋" w:cs="仿宋"/>
                <w:color w:val="FF0000"/>
              </w:rPr>
              <w:t>或</w:t>
            </w:r>
            <w:r>
              <w:rPr>
                <w:rFonts w:hint="eastAsia" w:ascii="仿宋" w:hAnsi="仿宋" w:eastAsia="仿宋" w:cs="仿宋"/>
              </w:rPr>
              <w:t>学院正式团体的正、副职主要学生干部的，可以申请加10分。</w:t>
            </w:r>
          </w:p>
          <w:p>
            <w:pPr>
              <w:spacing w:line="240" w:lineRule="auto"/>
              <w:ind w:firstLine="480" w:firstLineChars="200"/>
              <w:rPr>
                <w:rFonts w:ascii="仿宋" w:hAnsi="仿宋" w:eastAsia="仿宋" w:cs="仿宋"/>
              </w:rPr>
            </w:pPr>
            <w:r>
              <w:rPr>
                <w:rFonts w:hint="eastAsia" w:ascii="仿宋" w:hAnsi="仿宋" w:eastAsia="仿宋" w:cs="仿宋"/>
              </w:rPr>
              <w:t>（二）担任学校</w:t>
            </w:r>
            <w:r>
              <w:rPr>
                <w:rFonts w:hint="eastAsia" w:ascii="仿宋" w:hAnsi="仿宋" w:eastAsia="仿宋" w:cs="仿宋"/>
                <w:color w:val="FF0000"/>
              </w:rPr>
              <w:t>或</w:t>
            </w:r>
            <w:r>
              <w:rPr>
                <w:rFonts w:hint="eastAsia" w:ascii="仿宋" w:hAnsi="仿宋" w:eastAsia="仿宋" w:cs="仿宋"/>
              </w:rPr>
              <w:t>学院正式团体正、副部长级学生干部的，可以申请加8分。</w:t>
            </w:r>
          </w:p>
          <w:p>
            <w:pPr>
              <w:spacing w:line="240" w:lineRule="auto"/>
              <w:ind w:firstLine="480" w:firstLineChars="200"/>
              <w:rPr>
                <w:rFonts w:ascii="仿宋" w:hAnsi="仿宋" w:eastAsia="仿宋" w:cs="仿宋"/>
              </w:rPr>
            </w:pPr>
            <w:r>
              <w:rPr>
                <w:rFonts w:hint="eastAsia" w:ascii="仿宋" w:hAnsi="仿宋" w:eastAsia="仿宋" w:cs="仿宋"/>
              </w:rPr>
              <w:t>（三）担任学校</w:t>
            </w:r>
            <w:r>
              <w:rPr>
                <w:rFonts w:hint="eastAsia" w:ascii="仿宋" w:hAnsi="仿宋" w:eastAsia="仿宋" w:cs="仿宋"/>
                <w:color w:val="FF0000"/>
              </w:rPr>
              <w:t>或</w:t>
            </w:r>
            <w:r>
              <w:rPr>
                <w:rFonts w:hint="eastAsia" w:ascii="仿宋" w:hAnsi="仿宋" w:eastAsia="仿宋" w:cs="仿宋"/>
              </w:rPr>
              <w:t>学院正式团体的委员或成员、学校认可且业绩突出的其他学生社团正职负责人的，可以申请加5分。</w:t>
            </w:r>
          </w:p>
          <w:p>
            <w:pPr>
              <w:spacing w:line="240" w:lineRule="auto"/>
              <w:ind w:firstLine="480" w:firstLineChars="200"/>
              <w:rPr>
                <w:rFonts w:ascii="仿宋" w:hAnsi="仿宋" w:eastAsia="仿宋" w:cs="仿宋"/>
              </w:rPr>
            </w:pPr>
            <w:r>
              <w:rPr>
                <w:rFonts w:hint="eastAsia" w:ascii="仿宋" w:hAnsi="仿宋" w:eastAsia="仿宋" w:cs="仿宋"/>
              </w:rPr>
              <w:t>（四）担任班长、团支书的，可以申请加8分；担任副班长的，可以申请加6分；担任其他班委的，可以申请加5分。</w:t>
            </w:r>
          </w:p>
          <w:p>
            <w:pPr>
              <w:spacing w:line="240" w:lineRule="auto"/>
              <w:ind w:firstLine="480" w:firstLineChars="200"/>
              <w:rPr>
                <w:rFonts w:ascii="仿宋" w:hAnsi="仿宋" w:eastAsia="仿宋" w:cs="仿宋"/>
              </w:rPr>
            </w:pPr>
            <w:r>
              <w:rPr>
                <w:rFonts w:hint="eastAsia" w:ascii="仿宋" w:hAnsi="仿宋" w:eastAsia="仿宋" w:cs="仿宋"/>
              </w:rPr>
              <w:t>（五）担任研究生“三助一辅”一学期的，可以申请加4分。</w:t>
            </w:r>
          </w:p>
          <w:p>
            <w:pPr>
              <w:spacing w:line="240" w:lineRule="auto"/>
              <w:ind w:firstLine="480" w:firstLineChars="200"/>
              <w:rPr>
                <w:rFonts w:ascii="仿宋" w:hAnsi="仿宋" w:eastAsia="仿宋" w:cs="仿宋"/>
              </w:rPr>
            </w:pPr>
            <w:r>
              <w:rPr>
                <w:rFonts w:hint="eastAsia" w:ascii="仿宋" w:hAnsi="仿宋" w:eastAsia="仿宋" w:cs="仿宋"/>
              </w:rPr>
              <w:t>（六）担任党支部副书记的，可以申请加8分；担任党支部委员的，可以申请加5分。</w:t>
            </w:r>
          </w:p>
          <w:p>
            <w:pPr>
              <w:spacing w:line="240" w:lineRule="auto"/>
              <w:ind w:firstLine="480" w:firstLineChars="200"/>
              <w:rPr>
                <w:rFonts w:ascii="仿宋" w:hAnsi="仿宋" w:eastAsia="仿宋" w:cs="仿宋"/>
              </w:rPr>
            </w:pPr>
            <w:r>
              <w:rPr>
                <w:rFonts w:hint="eastAsia" w:ascii="仿宋" w:hAnsi="仿宋" w:eastAsia="仿宋" w:cs="仿宋"/>
              </w:rPr>
              <w:t>（七）参加学校党委学生工作部（党委研究生工作部）或学院团委举办的大学生暑期“三下乡”社会实践活动和寒假“返家乡”社会实践活动一次，可以申请加3分。</w:t>
            </w:r>
          </w:p>
          <w:p>
            <w:pPr>
              <w:spacing w:line="240" w:lineRule="auto"/>
              <w:ind w:firstLine="480" w:firstLineChars="200"/>
              <w:rPr>
                <w:rFonts w:ascii="仿宋" w:hAnsi="仿宋" w:eastAsia="仿宋" w:cs="仿宋"/>
              </w:rPr>
            </w:pPr>
            <w:r>
              <w:rPr>
                <w:rFonts w:hint="eastAsia" w:ascii="仿宋" w:hAnsi="仿宋" w:eastAsia="仿宋" w:cs="仿宋"/>
              </w:rPr>
              <w:t>（八）参加学校或学院举办的非学术讲座一次，可以申请加1分，但本项加分不得超过5分。</w:t>
            </w:r>
          </w:p>
          <w:p>
            <w:pPr>
              <w:spacing w:line="240" w:lineRule="auto"/>
              <w:ind w:firstLine="480" w:firstLineChars="200"/>
              <w:rPr>
                <w:rFonts w:ascii="仿宋" w:hAnsi="仿宋" w:eastAsia="仿宋" w:cs="仿宋"/>
              </w:rPr>
            </w:pPr>
            <w:r>
              <w:rPr>
                <w:rFonts w:hint="eastAsia" w:ascii="仿宋" w:hAnsi="仿宋" w:eastAsia="仿宋" w:cs="仿宋"/>
              </w:rPr>
              <w:t>兼任多个前款第（一）至（六）项所涉职务的，以担任分值较高的前三个职务论，第一个职务计相应分值的100%、第二个职务计相应分值的50%、第三个职务计相应分值的25%。</w:t>
            </w:r>
          </w:p>
          <w:p>
            <w:pPr>
              <w:spacing w:line="240" w:lineRule="auto"/>
              <w:ind w:firstLine="480" w:firstLineChars="200"/>
              <w:rPr>
                <w:rFonts w:ascii="仿宋" w:hAnsi="仿宋" w:eastAsia="仿宋" w:cs="仿宋"/>
              </w:rPr>
            </w:pPr>
            <w:r>
              <w:rPr>
                <w:rFonts w:hint="eastAsia" w:ascii="仿宋" w:hAnsi="仿宋" w:eastAsia="仿宋" w:cs="仿宋"/>
              </w:rPr>
              <w:t>担任第一款第（一）至（六）项涉及的职务，任期不满一届但超过本届任期时间的一半以上，因正当理由不再担任所任职务的，可以申请加对应分值一半的分。</w:t>
            </w:r>
          </w:p>
          <w:p>
            <w:pPr>
              <w:spacing w:line="240" w:lineRule="auto"/>
              <w:ind w:firstLine="480" w:firstLineChars="200"/>
              <w:rPr>
                <w:rFonts w:ascii="仿宋" w:hAnsi="仿宋" w:eastAsia="仿宋" w:cs="仿宋"/>
              </w:rPr>
            </w:pPr>
            <w:r>
              <w:rPr>
                <w:rFonts w:hint="eastAsia" w:ascii="仿宋" w:hAnsi="仿宋" w:eastAsia="仿宋" w:cs="仿宋"/>
              </w:rPr>
              <w:t>没有担任第一款第（一）至（六）项涉及的职务，但积极参与学生工作，为校、系、班集体做出较大贡献的，以及参加其它学生社团或组织且表现突出的，可以酌情加分，但不得超过5分。</w:t>
            </w:r>
          </w:p>
          <w:p>
            <w:pPr>
              <w:spacing w:line="240" w:lineRule="auto"/>
              <w:rPr>
                <w:rFonts w:ascii="仿宋" w:hAnsi="仿宋" w:eastAsia="仿宋" w:cs="仿宋"/>
              </w:rPr>
            </w:pPr>
            <w:r>
              <w:rPr>
                <w:rFonts w:hint="eastAsia" w:ascii="仿宋" w:hAnsi="仿宋" w:eastAsia="仿宋" w:cs="仿宋"/>
              </w:rPr>
              <w:t>满足以下情形之一的，不得申请第一款第（一）至（六）项加分：</w:t>
            </w:r>
          </w:p>
          <w:p>
            <w:pPr>
              <w:spacing w:line="240" w:lineRule="auto"/>
              <w:ind w:firstLine="480" w:firstLineChars="200"/>
              <w:rPr>
                <w:rFonts w:ascii="仿宋" w:hAnsi="仿宋" w:eastAsia="仿宋" w:cs="仿宋"/>
              </w:rPr>
            </w:pPr>
            <w:r>
              <w:rPr>
                <w:rFonts w:hint="eastAsia" w:ascii="仿宋" w:hAnsi="仿宋" w:eastAsia="仿宋" w:cs="仿宋"/>
              </w:rPr>
              <w:t>（一）因违纪等原因被免去第一款第（一）至（六）项所涉职务的；</w:t>
            </w:r>
          </w:p>
          <w:p>
            <w:pPr>
              <w:spacing w:line="240" w:lineRule="auto"/>
              <w:ind w:firstLine="480" w:firstLineChars="200"/>
              <w:rPr>
                <w:rFonts w:ascii="仿宋" w:hAnsi="仿宋" w:eastAsia="仿宋" w:cs="仿宋"/>
              </w:rPr>
            </w:pPr>
            <w:r>
              <w:rPr>
                <w:rFonts w:hint="eastAsia" w:ascii="仿宋" w:hAnsi="仿宋" w:eastAsia="仿宋" w:cs="仿宋"/>
              </w:rPr>
              <w:t>（二）在任职期间工作态度差，不负责任，未完成本职工作的；</w:t>
            </w:r>
          </w:p>
          <w:p>
            <w:pPr>
              <w:spacing w:line="240" w:lineRule="auto"/>
              <w:ind w:firstLine="480" w:firstLineChars="200"/>
              <w:rPr>
                <w:rFonts w:ascii="仿宋" w:hAnsi="仿宋" w:eastAsia="仿宋" w:cs="仿宋"/>
              </w:rPr>
            </w:pPr>
            <w:r>
              <w:rPr>
                <w:rFonts w:hint="eastAsia" w:ascii="仿宋" w:hAnsi="仿宋" w:eastAsia="仿宋" w:cs="仿宋"/>
              </w:rPr>
              <w:t>（三）在任职期间受警告以上处分的。</w:t>
            </w:r>
          </w:p>
          <w:p>
            <w:pPr>
              <w:spacing w:line="240" w:lineRule="auto"/>
              <w:ind w:firstLine="480" w:firstLineChars="200"/>
              <w:rPr>
                <w:rFonts w:ascii="仿宋" w:hAnsi="仿宋" w:eastAsia="仿宋" w:cs="仿宋"/>
              </w:rPr>
            </w:pPr>
            <w:r>
              <w:rPr>
                <w:rFonts w:hint="eastAsia" w:ascii="仿宋" w:hAnsi="仿宋" w:eastAsia="仿宋" w:cs="仿宋"/>
              </w:rPr>
              <w:t>参加社会工作加分上限为20分。</w:t>
            </w:r>
          </w:p>
        </w:tc>
        <w:tc>
          <w:tcPr>
            <w:tcW w:w="2500" w:type="pct"/>
            <w:vAlign w:val="center"/>
          </w:tcPr>
          <w:p>
            <w:pPr>
              <w:spacing w:line="276" w:lineRule="auto"/>
              <w:ind w:firstLine="480" w:firstLineChars="200"/>
              <w:rPr>
                <w:rFonts w:ascii="仿宋" w:hAnsi="仿宋" w:eastAsia="仿宋" w:cs="仿宋"/>
              </w:rPr>
            </w:pPr>
            <w:r>
              <w:rPr>
                <w:rFonts w:hint="eastAsia" w:ascii="仿宋" w:hAnsi="仿宋" w:eastAsia="仿宋" w:cs="仿宋"/>
              </w:rPr>
              <w:t>2.社会工作，上限20分</w:t>
            </w:r>
          </w:p>
          <w:p>
            <w:pPr>
              <w:spacing w:line="276" w:lineRule="auto"/>
              <w:ind w:firstLine="480" w:firstLineChars="200"/>
              <w:rPr>
                <w:rFonts w:ascii="仿宋" w:hAnsi="仿宋" w:eastAsia="仿宋" w:cs="仿宋"/>
              </w:rPr>
            </w:pPr>
            <w:r>
              <w:rPr>
                <w:rFonts w:hint="eastAsia" w:ascii="仿宋" w:hAnsi="仿宋" w:eastAsia="仿宋" w:cs="仿宋"/>
              </w:rPr>
              <w:t>参加学生组织、学生党团组织及学校成立的其他组织，任期满一届，且尽职尽责，能够较好地完成本职工作，经群众评议，可以申请加分。标准如下：</w:t>
            </w:r>
          </w:p>
          <w:p>
            <w:pPr>
              <w:spacing w:line="276" w:lineRule="auto"/>
              <w:ind w:firstLine="480" w:firstLineChars="200"/>
              <w:rPr>
                <w:rFonts w:ascii="仿宋" w:hAnsi="仿宋" w:eastAsia="仿宋" w:cs="仿宋"/>
              </w:rPr>
            </w:pPr>
            <w:r>
              <w:rPr>
                <w:rFonts w:hint="eastAsia" w:ascii="仿宋" w:hAnsi="仿宋" w:eastAsia="仿宋" w:cs="仿宋"/>
              </w:rPr>
              <w:t>①学校</w:t>
            </w:r>
            <w:r>
              <w:rPr>
                <w:rFonts w:hint="eastAsia" w:ascii="仿宋" w:hAnsi="仿宋" w:eastAsia="仿宋" w:cs="仿宋"/>
                <w:strike/>
                <w:color w:val="0070C0"/>
              </w:rPr>
              <w:t>及</w:t>
            </w:r>
            <w:r>
              <w:rPr>
                <w:rFonts w:hint="eastAsia" w:ascii="仿宋" w:hAnsi="仿宋" w:eastAsia="仿宋" w:cs="仿宋"/>
              </w:rPr>
              <w:t>学院正式团体的正副职主要学生干部，可申请加10分；</w:t>
            </w:r>
          </w:p>
          <w:p>
            <w:pPr>
              <w:spacing w:line="276" w:lineRule="auto"/>
              <w:ind w:firstLine="480" w:firstLineChars="200"/>
              <w:rPr>
                <w:rFonts w:ascii="仿宋" w:hAnsi="仿宋" w:eastAsia="仿宋" w:cs="仿宋"/>
              </w:rPr>
            </w:pPr>
            <w:r>
              <w:rPr>
                <w:rFonts w:hint="eastAsia" w:ascii="仿宋" w:hAnsi="仿宋" w:eastAsia="仿宋" w:cs="仿宋"/>
              </w:rPr>
              <w:t>②学校</w:t>
            </w:r>
            <w:r>
              <w:rPr>
                <w:rFonts w:hint="eastAsia" w:ascii="仿宋" w:hAnsi="仿宋" w:eastAsia="仿宋" w:cs="仿宋"/>
                <w:strike/>
                <w:color w:val="0070C0"/>
              </w:rPr>
              <w:t>及</w:t>
            </w:r>
            <w:r>
              <w:rPr>
                <w:rFonts w:hint="eastAsia" w:ascii="仿宋" w:hAnsi="仿宋" w:eastAsia="仿宋" w:cs="仿宋"/>
              </w:rPr>
              <w:t>学院正式团体正、副部长级学生干部，可申请加8分；</w:t>
            </w:r>
          </w:p>
          <w:p>
            <w:pPr>
              <w:spacing w:line="276" w:lineRule="auto"/>
              <w:ind w:firstLine="480" w:firstLineChars="200"/>
              <w:rPr>
                <w:rFonts w:ascii="仿宋" w:hAnsi="仿宋" w:eastAsia="仿宋" w:cs="仿宋"/>
              </w:rPr>
            </w:pPr>
            <w:r>
              <w:rPr>
                <w:rFonts w:hint="eastAsia" w:ascii="仿宋" w:hAnsi="仿宋" w:eastAsia="仿宋" w:cs="仿宋"/>
              </w:rPr>
              <w:t>③学校</w:t>
            </w:r>
            <w:r>
              <w:rPr>
                <w:rFonts w:hint="eastAsia" w:ascii="仿宋" w:hAnsi="仿宋" w:eastAsia="仿宋" w:cs="仿宋"/>
                <w:strike/>
                <w:color w:val="0070C0"/>
              </w:rPr>
              <w:t>及</w:t>
            </w:r>
            <w:r>
              <w:rPr>
                <w:rFonts w:hint="eastAsia" w:ascii="仿宋" w:hAnsi="仿宋" w:eastAsia="仿宋" w:cs="仿宋"/>
              </w:rPr>
              <w:t>学院正式团体的委员或成员，学校认可且业绩突出的其他学生社团正职负责人，可申请加5分；</w:t>
            </w:r>
          </w:p>
          <w:p>
            <w:pPr>
              <w:spacing w:line="276" w:lineRule="auto"/>
              <w:ind w:firstLine="480" w:firstLineChars="200"/>
              <w:rPr>
                <w:rFonts w:ascii="仿宋" w:hAnsi="仿宋" w:eastAsia="仿宋" w:cs="仿宋"/>
              </w:rPr>
            </w:pPr>
            <w:r>
              <w:rPr>
                <w:rFonts w:hint="eastAsia" w:ascii="仿宋" w:hAnsi="仿宋" w:eastAsia="仿宋" w:cs="仿宋"/>
              </w:rPr>
              <w:t>④班长、团支书可申请加8分，副班长可申请加6分，班委可申请加5分；</w:t>
            </w:r>
          </w:p>
          <w:p>
            <w:pPr>
              <w:spacing w:line="276" w:lineRule="auto"/>
              <w:ind w:firstLine="480" w:firstLineChars="200"/>
              <w:rPr>
                <w:rFonts w:ascii="仿宋" w:hAnsi="仿宋" w:eastAsia="仿宋" w:cs="仿宋"/>
              </w:rPr>
            </w:pPr>
            <w:r>
              <w:rPr>
                <w:rFonts w:hint="eastAsia" w:ascii="仿宋" w:hAnsi="仿宋" w:eastAsia="仿宋" w:cs="仿宋"/>
              </w:rPr>
              <w:t>⑤研究生“三助一辅”可申请加4分/学期；</w:t>
            </w:r>
          </w:p>
          <w:p>
            <w:pPr>
              <w:spacing w:line="276" w:lineRule="auto"/>
              <w:ind w:firstLine="480" w:firstLineChars="200"/>
              <w:rPr>
                <w:rFonts w:ascii="仿宋" w:hAnsi="仿宋" w:eastAsia="仿宋" w:cs="仿宋"/>
              </w:rPr>
            </w:pPr>
            <w:r>
              <w:rPr>
                <w:rFonts w:hint="eastAsia" w:ascii="仿宋" w:hAnsi="仿宋" w:eastAsia="仿宋" w:cs="仿宋"/>
              </w:rPr>
              <w:t>⑥党支部副书记可申请加8分，党支部委员可申请加5分；</w:t>
            </w:r>
          </w:p>
          <w:p>
            <w:pPr>
              <w:spacing w:line="276" w:lineRule="auto"/>
              <w:ind w:firstLine="480" w:firstLineChars="200"/>
              <w:rPr>
                <w:rFonts w:ascii="仿宋" w:hAnsi="仿宋" w:eastAsia="仿宋" w:cs="仿宋"/>
              </w:rPr>
            </w:pPr>
            <w:r>
              <w:rPr>
                <w:rFonts w:hint="eastAsia" w:ascii="仿宋" w:hAnsi="仿宋" w:eastAsia="仿宋" w:cs="仿宋"/>
              </w:rPr>
              <w:t>⑦没有担任上述职务，但积极参与学生工作，为校、系、班集体做出较大贡献者，以及参加其它学生社团或组织且表现突出者，可酌情加分，加分不超过5分，</w:t>
            </w:r>
            <w:r>
              <w:rPr>
                <w:rFonts w:hint="eastAsia" w:ascii="仿宋" w:hAnsi="仿宋" w:eastAsia="仿宋" w:cs="仿宋"/>
                <w:strike/>
                <w:color w:val="0070C0"/>
              </w:rPr>
              <w:t>具体由班级审核</w:t>
            </w:r>
            <w:r>
              <w:rPr>
                <w:rFonts w:hint="eastAsia" w:ascii="仿宋" w:hAnsi="仿宋" w:eastAsia="仿宋" w:cs="仿宋"/>
              </w:rPr>
              <w:t>；</w:t>
            </w:r>
          </w:p>
          <w:p>
            <w:pPr>
              <w:spacing w:line="276" w:lineRule="auto"/>
              <w:ind w:firstLine="480" w:firstLineChars="200"/>
              <w:rPr>
                <w:rFonts w:ascii="仿宋" w:hAnsi="仿宋" w:eastAsia="仿宋" w:cs="仿宋"/>
              </w:rPr>
            </w:pPr>
            <w:r>
              <w:rPr>
                <w:rFonts w:hint="eastAsia" w:ascii="仿宋" w:hAnsi="仿宋" w:eastAsia="仿宋" w:cs="仿宋"/>
              </w:rPr>
              <w:t>担任各级职务任期不满一届，且超过本届任期时间的一半以上，因正当理由不再担任所任职务的，可申请减半加分；因违纪等原因被免去所任职务的或清退出组织的，不加分；工作态度差、不负责任，未完成本职工作的，不加分；在任职期间受警告以上处分的不加分。</w:t>
            </w:r>
          </w:p>
          <w:p>
            <w:pPr>
              <w:spacing w:line="276" w:lineRule="auto"/>
              <w:ind w:firstLine="480" w:firstLineChars="200"/>
              <w:rPr>
                <w:rFonts w:ascii="仿宋" w:hAnsi="仿宋" w:eastAsia="仿宋" w:cs="仿宋"/>
              </w:rPr>
            </w:pPr>
            <w:r>
              <w:rPr>
                <w:rFonts w:hint="eastAsia" w:ascii="仿宋" w:hAnsi="仿宋" w:eastAsia="仿宋" w:cs="仿宋"/>
              </w:rPr>
              <w:t>兼任数职者，取前三项职务，第一项计相应分值的100%、第二项计相应分值的50%、第三项计相应分值的25%。</w:t>
            </w:r>
          </w:p>
          <w:p>
            <w:pPr>
              <w:spacing w:line="276" w:lineRule="auto"/>
              <w:ind w:firstLine="480" w:firstLineChars="200"/>
              <w:rPr>
                <w:rFonts w:ascii="仿宋" w:hAnsi="仿宋" w:eastAsia="仿宋" w:cs="仿宋"/>
              </w:rPr>
            </w:pPr>
            <w:r>
              <w:rPr>
                <w:rFonts w:hint="eastAsia" w:ascii="仿宋" w:hAnsi="仿宋" w:eastAsia="仿宋" w:cs="仿宋"/>
              </w:rPr>
              <w:t>⑧参加学校党委学生工作部（党委研究生工作部）或学院团委举办的大学生暑期“三下乡”社会实践活动和寒假“返家乡”社会实践活动，加3分/次；</w:t>
            </w:r>
          </w:p>
          <w:p>
            <w:pPr>
              <w:spacing w:line="276" w:lineRule="auto"/>
              <w:ind w:firstLine="480" w:firstLineChars="200"/>
              <w:rPr>
                <w:rFonts w:ascii="仿宋" w:hAnsi="仿宋" w:eastAsia="仿宋" w:cs="仿宋"/>
              </w:rPr>
            </w:pPr>
            <w:r>
              <w:rPr>
                <w:rFonts w:hint="eastAsia" w:ascii="仿宋" w:hAnsi="仿宋" w:eastAsia="仿宋" w:cs="仿宋"/>
              </w:rPr>
              <w:t>⑨参加校院举办的非学术讲座，计1分/次，最高不超过5分。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tcPr>
          <w:p>
            <w:pPr>
              <w:spacing w:line="240" w:lineRule="auto"/>
              <w:ind w:firstLine="422" w:firstLineChars="200"/>
              <w:rPr>
                <w:rFonts w:ascii="仿宋" w:hAnsi="仿宋" w:eastAsia="仿宋"/>
                <w:sz w:val="21"/>
                <w:szCs w:val="21"/>
              </w:rPr>
            </w:pPr>
            <w:r>
              <w:rPr>
                <w:rFonts w:hint="eastAsia" w:ascii="仿宋" w:hAnsi="仿宋" w:eastAsia="仿宋"/>
                <w:b/>
                <w:bCs/>
                <w:sz w:val="21"/>
                <w:szCs w:val="21"/>
              </w:rPr>
              <w:t>第三十九条  【参加文化艺术、思想道德建设等竞赛加分】</w:t>
            </w:r>
            <w:r>
              <w:rPr>
                <w:rFonts w:hint="eastAsia" w:ascii="仿宋" w:hAnsi="仿宋" w:eastAsia="仿宋"/>
                <w:sz w:val="21"/>
                <w:szCs w:val="21"/>
              </w:rPr>
              <w:t>参加文化艺术、思想道德建设等竞赛的，可以按照以下标准申请参加文化艺术、思想道德建设等竞赛加分：</w:t>
            </w:r>
          </w:p>
          <w:p>
            <w:pPr>
              <w:spacing w:line="240" w:lineRule="auto"/>
              <w:ind w:firstLine="480"/>
              <w:rPr>
                <w:rFonts w:ascii="仿宋" w:hAnsi="仿宋" w:eastAsia="仿宋"/>
                <w:sz w:val="21"/>
                <w:szCs w:val="21"/>
              </w:rPr>
            </w:pPr>
            <w:r>
              <w:rPr>
                <w:rFonts w:hint="eastAsia" w:ascii="仿宋" w:hAnsi="仿宋" w:eastAsia="仿宋"/>
                <w:sz w:val="21"/>
                <w:szCs w:val="21"/>
              </w:rPr>
              <w:t>（一）参加教育部、团中央、省教育厅、团省委、学校、学院等部门主办的征文、演讲、摄影、舞蹈、动漫等竞赛，且通过选拔入围的，按照以下标准加分：</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690"/>
              <w:gridCol w:w="1209"/>
              <w:gridCol w:w="1210"/>
              <w:gridCol w:w="1212"/>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7"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个人竞赛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级别</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一等奖</w:t>
                  </w:r>
                </w:p>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（第1、2名）</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二等奖</w:t>
                  </w:r>
                </w:p>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（第3、4、5名）</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三等奖</w:t>
                  </w:r>
                </w:p>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（第6、7、8名）</w:t>
                  </w:r>
                </w:p>
              </w:tc>
              <w:tc>
                <w:tcPr>
                  <w:tcW w:w="6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10</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8</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6</w:t>
                  </w:r>
                </w:p>
              </w:tc>
              <w:tc>
                <w:tcPr>
                  <w:tcW w:w="6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8</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6</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c>
                <w:tcPr>
                  <w:tcW w:w="6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6</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c>
                <w:tcPr>
                  <w:tcW w:w="6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院级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c>
                <w:tcPr>
                  <w:tcW w:w="6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ascii="仿宋" w:hAnsi="仿宋" w:eastAsia="仿宋"/>
                      <w:b/>
                      <w:bCs/>
                      <w:sz w:val="16"/>
                      <w:szCs w:val="16"/>
                    </w:rPr>
                    <w:t>团体竞赛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级别</w:t>
                  </w:r>
                </w:p>
              </w:tc>
              <w:tc>
                <w:tcPr>
                  <w:tcW w:w="204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一等奖</w:t>
                  </w:r>
                </w:p>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（第1、2名）</w:t>
                  </w:r>
                </w:p>
              </w:tc>
              <w:tc>
                <w:tcPr>
                  <w:tcW w:w="204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二等奖</w:t>
                  </w:r>
                </w:p>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（第3、4、5名）</w:t>
                  </w:r>
                </w:p>
              </w:tc>
              <w:tc>
                <w:tcPr>
                  <w:tcW w:w="2048"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三等奖</w:t>
                  </w:r>
                </w:p>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（第6、7、8名）</w:t>
                  </w:r>
                </w:p>
              </w:tc>
              <w:tc>
                <w:tcPr>
                  <w:tcW w:w="6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5</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4</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3</w:t>
                  </w:r>
                </w:p>
              </w:tc>
              <w:tc>
                <w:tcPr>
                  <w:tcW w:w="6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4</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3</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2</w:t>
                  </w:r>
                </w:p>
              </w:tc>
              <w:tc>
                <w:tcPr>
                  <w:tcW w:w="6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3</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2</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1</w:t>
                  </w:r>
                </w:p>
              </w:tc>
              <w:tc>
                <w:tcPr>
                  <w:tcW w:w="6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693" w:type="pct"/>
                  <w:tcBorders>
                    <w:top w:val="single" w:color="000000" w:sz="8" w:space="0"/>
                    <w:left w:val="single" w:color="000000" w:sz="8" w:space="0"/>
                    <w:bottom w:val="single" w:color="auto" w:sz="12"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院级</w:t>
                  </w:r>
                </w:p>
              </w:tc>
              <w:tc>
                <w:tcPr>
                  <w:tcW w:w="1214" w:type="pct"/>
                  <w:tcBorders>
                    <w:top w:val="single" w:color="000000" w:sz="8" w:space="0"/>
                    <w:left w:val="single" w:color="000000" w:sz="8" w:space="0"/>
                    <w:bottom w:val="single" w:color="auto" w:sz="12"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2</w:t>
                  </w:r>
                </w:p>
              </w:tc>
              <w:tc>
                <w:tcPr>
                  <w:tcW w:w="1214" w:type="pct"/>
                  <w:tcBorders>
                    <w:top w:val="single" w:color="000000" w:sz="8" w:space="0"/>
                    <w:left w:val="single" w:color="000000" w:sz="8" w:space="0"/>
                    <w:bottom w:val="single" w:color="auto" w:sz="12"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1</w:t>
                  </w:r>
                </w:p>
              </w:tc>
              <w:tc>
                <w:tcPr>
                  <w:tcW w:w="1214" w:type="pct"/>
                  <w:tcBorders>
                    <w:top w:val="single" w:color="000000" w:sz="8" w:space="0"/>
                    <w:left w:val="single" w:color="000000" w:sz="8" w:space="0"/>
                    <w:bottom w:val="single" w:color="auto" w:sz="12"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0.5</w:t>
                  </w:r>
                </w:p>
              </w:tc>
              <w:tc>
                <w:tcPr>
                  <w:tcW w:w="662" w:type="pct"/>
                  <w:tcBorders>
                    <w:top w:val="single" w:color="000000" w:sz="8" w:space="0"/>
                    <w:left w:val="single" w:color="000000" w:sz="8" w:space="0"/>
                    <w:bottom w:val="single" w:color="auto" w:sz="12"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0.25</w:t>
                  </w:r>
                </w:p>
              </w:tc>
            </w:tr>
          </w:tbl>
          <w:p>
            <w:pPr>
              <w:spacing w:line="240" w:lineRule="auto"/>
              <w:ind w:firstLine="420" w:firstLineChars="200"/>
              <w:rPr>
                <w:rFonts w:ascii="仿宋" w:hAnsi="仿宋" w:eastAsia="仿宋"/>
                <w:sz w:val="21"/>
                <w:szCs w:val="21"/>
              </w:rPr>
            </w:pPr>
            <w:r>
              <w:rPr>
                <w:rFonts w:hint="eastAsia" w:ascii="仿宋" w:hAnsi="仿宋" w:eastAsia="仿宋"/>
                <w:sz w:val="21"/>
                <w:szCs w:val="21"/>
              </w:rPr>
              <w:t>（二）积极参加体育竞赛的，按照以下标准加分：</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982"/>
              <w:gridCol w:w="986"/>
              <w:gridCol w:w="987"/>
              <w:gridCol w:w="98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个人项目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cs="仿宋"/>
                      <w:b/>
                      <w:bCs/>
                      <w:sz w:val="16"/>
                      <w:szCs w:val="16"/>
                    </w:rPr>
                  </w:pPr>
                  <w:r>
                    <w:rPr>
                      <w:rFonts w:hint="eastAsia" w:ascii="仿宋" w:hAnsi="仿宋" w:eastAsia="仿宋" w:cs="仿宋"/>
                      <w:b/>
                      <w:bCs/>
                      <w:sz w:val="16"/>
                      <w:szCs w:val="16"/>
                    </w:rPr>
                    <w:t>级别</w:t>
                  </w:r>
                </w:p>
              </w:tc>
              <w:tc>
                <w:tcPr>
                  <w:tcW w:w="98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cs="仿宋"/>
                      <w:b/>
                      <w:bCs/>
                      <w:sz w:val="16"/>
                      <w:szCs w:val="16"/>
                    </w:rPr>
                  </w:pPr>
                  <w:r>
                    <w:rPr>
                      <w:rFonts w:hint="eastAsia" w:ascii="仿宋" w:hAnsi="仿宋" w:eastAsia="仿宋" w:cs="仿宋"/>
                      <w:b/>
                      <w:bCs/>
                      <w:sz w:val="16"/>
                      <w:szCs w:val="16"/>
                    </w:rPr>
                    <w:t>第1名</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cs="仿宋"/>
                      <w:b/>
                      <w:bCs/>
                      <w:sz w:val="16"/>
                      <w:szCs w:val="16"/>
                    </w:rPr>
                  </w:pPr>
                  <w:r>
                    <w:rPr>
                      <w:rFonts w:hint="eastAsia" w:ascii="仿宋" w:hAnsi="仿宋" w:eastAsia="仿宋" w:cs="仿宋"/>
                      <w:b/>
                      <w:bCs/>
                      <w:sz w:val="16"/>
                      <w:szCs w:val="16"/>
                    </w:rPr>
                    <w:t>第2、3名</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cs="仿宋"/>
                      <w:b/>
                      <w:bCs/>
                      <w:sz w:val="16"/>
                      <w:szCs w:val="16"/>
                    </w:rPr>
                  </w:pPr>
                  <w:r>
                    <w:rPr>
                      <w:rFonts w:hint="eastAsia" w:ascii="仿宋" w:hAnsi="仿宋" w:eastAsia="仿宋" w:cs="仿宋"/>
                      <w:b/>
                      <w:bCs/>
                      <w:sz w:val="16"/>
                      <w:szCs w:val="16"/>
                    </w:rPr>
                    <w:t>第4—8名</w:t>
                  </w:r>
                </w:p>
              </w:tc>
              <w:tc>
                <w:tcPr>
                  <w:tcW w:w="104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cs="仿宋"/>
                      <w:b/>
                      <w:bCs/>
                      <w:sz w:val="16"/>
                      <w:szCs w:val="16"/>
                    </w:rPr>
                  </w:pPr>
                  <w:r>
                    <w:rPr>
                      <w:rFonts w:hint="eastAsia" w:ascii="仿宋" w:hAnsi="仿宋" w:eastAsia="仿宋" w:cs="仿宋"/>
                      <w:b/>
                      <w:bCs/>
                      <w:sz w:val="16"/>
                      <w:szCs w:val="16"/>
                    </w:rPr>
                    <w:t>前8以外及参赛未获奖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cs="仿宋"/>
                      <w:b/>
                      <w:bCs/>
                      <w:color w:val="FF0000"/>
                      <w:sz w:val="16"/>
                      <w:szCs w:val="16"/>
                    </w:rPr>
                  </w:pPr>
                  <w:r>
                    <w:rPr>
                      <w:rFonts w:hint="eastAsia" w:ascii="仿宋" w:hAnsi="仿宋" w:eastAsia="仿宋" w:cs="仿宋"/>
                      <w:b/>
                      <w:bCs/>
                      <w:color w:val="FF0000"/>
                      <w:sz w:val="16"/>
                      <w:szCs w:val="16"/>
                    </w:rPr>
                    <w:t>国家级</w:t>
                  </w:r>
                </w:p>
              </w:tc>
              <w:tc>
                <w:tcPr>
                  <w:tcW w:w="989" w:type="pct"/>
                  <w:tcBorders>
                    <w:top w:val="single" w:color="000000" w:sz="8" w:space="0"/>
                    <w:left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10</w:t>
                  </w:r>
                </w:p>
              </w:tc>
              <w:tc>
                <w:tcPr>
                  <w:tcW w:w="990" w:type="pct"/>
                  <w:tcBorders>
                    <w:top w:val="single" w:color="000000" w:sz="8" w:space="0"/>
                    <w:left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9</w:t>
                  </w:r>
                </w:p>
              </w:tc>
              <w:tc>
                <w:tcPr>
                  <w:tcW w:w="990" w:type="pct"/>
                  <w:tcBorders>
                    <w:top w:val="single" w:color="000000" w:sz="8" w:space="0"/>
                    <w:left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7</w:t>
                  </w:r>
                </w:p>
              </w:tc>
              <w:tc>
                <w:tcPr>
                  <w:tcW w:w="1042" w:type="pct"/>
                  <w:tcBorders>
                    <w:top w:val="single" w:color="000000" w:sz="8" w:space="0"/>
                    <w:left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color w:val="FF0000"/>
                      <w:sz w:val="16"/>
                      <w:szCs w:val="16"/>
                    </w:rPr>
                  </w:pPr>
                  <w:r>
                    <w:rPr>
                      <w:rFonts w:hint="eastAsia" w:ascii="仿宋" w:hAnsi="仿宋" w:eastAsia="仿宋"/>
                      <w:b/>
                      <w:bCs/>
                      <w:color w:val="FF0000"/>
                      <w:sz w:val="16"/>
                      <w:szCs w:val="16"/>
                    </w:rPr>
                    <w:t>省部级</w:t>
                  </w:r>
                </w:p>
              </w:tc>
              <w:tc>
                <w:tcPr>
                  <w:tcW w:w="989" w:type="pct"/>
                  <w:tcBorders>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8</w:t>
                  </w:r>
                </w:p>
              </w:tc>
              <w:tc>
                <w:tcPr>
                  <w:tcW w:w="990" w:type="pct"/>
                  <w:tcBorders>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7</w:t>
                  </w:r>
                </w:p>
              </w:tc>
              <w:tc>
                <w:tcPr>
                  <w:tcW w:w="990" w:type="pct"/>
                  <w:tcBorders>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5</w:t>
                  </w:r>
                </w:p>
              </w:tc>
              <w:tc>
                <w:tcPr>
                  <w:tcW w:w="1042" w:type="pct"/>
                  <w:tcBorders>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市、校级</w:t>
                  </w:r>
                </w:p>
              </w:tc>
              <w:tc>
                <w:tcPr>
                  <w:tcW w:w="98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6</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5</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eastAsia="Times New Roman"/>
                      <w:sz w:val="16"/>
                      <w:szCs w:val="16"/>
                    </w:rPr>
                    <w:t>4</w:t>
                  </w:r>
                </w:p>
              </w:tc>
              <w:tc>
                <w:tcPr>
                  <w:tcW w:w="104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院级</w:t>
                  </w:r>
                </w:p>
              </w:tc>
              <w:tc>
                <w:tcPr>
                  <w:tcW w:w="98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3</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c>
                <w:tcPr>
                  <w:tcW w:w="104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hint="eastAsia"/>
                      <w:b/>
                      <w:bCs/>
                      <w:sz w:val="16"/>
                      <w:szCs w:val="16"/>
                    </w:rPr>
                    <w:t>团体项目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级别</w:t>
                  </w:r>
                </w:p>
              </w:tc>
              <w:tc>
                <w:tcPr>
                  <w:tcW w:w="98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第1名</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第2</w:t>
                  </w:r>
                  <w:r>
                    <w:rPr>
                      <w:rFonts w:hint="eastAsia" w:ascii="仿宋" w:hAnsi="仿宋" w:eastAsia="仿宋"/>
                      <w:b/>
                      <w:bCs/>
                      <w:sz w:val="16"/>
                      <w:szCs w:val="16"/>
                    </w:rPr>
                    <w:t>、</w:t>
                  </w:r>
                  <w:r>
                    <w:rPr>
                      <w:rFonts w:ascii="仿宋" w:hAnsi="仿宋" w:eastAsia="仿宋"/>
                      <w:b/>
                      <w:bCs/>
                      <w:sz w:val="16"/>
                      <w:szCs w:val="16"/>
                    </w:rPr>
                    <w:t>3名</w:t>
                  </w:r>
                </w:p>
              </w:tc>
              <w:tc>
                <w:tcPr>
                  <w:tcW w:w="99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第4</w:t>
                  </w:r>
                  <w:r>
                    <w:rPr>
                      <w:rFonts w:hint="eastAsia" w:ascii="仿宋" w:hAnsi="仿宋" w:eastAsia="仿宋"/>
                      <w:b/>
                      <w:bCs/>
                      <w:sz w:val="16"/>
                      <w:szCs w:val="16"/>
                    </w:rPr>
                    <w:t>—</w:t>
                  </w:r>
                  <w:r>
                    <w:rPr>
                      <w:rFonts w:ascii="仿宋" w:hAnsi="仿宋" w:eastAsia="仿宋"/>
                      <w:b/>
                      <w:bCs/>
                      <w:sz w:val="16"/>
                      <w:szCs w:val="16"/>
                    </w:rPr>
                    <w:t>8名</w:t>
                  </w:r>
                </w:p>
              </w:tc>
              <w:tc>
                <w:tcPr>
                  <w:tcW w:w="104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宋体" w:hAnsi="宋体"/>
                      <w:b/>
                      <w:bCs/>
                      <w:sz w:val="16"/>
                      <w:szCs w:val="16"/>
                    </w:rPr>
                  </w:pPr>
                  <w:r>
                    <w:rPr>
                      <w:rFonts w:hint="eastAsia" w:ascii="仿宋" w:hAnsi="仿宋" w:eastAsia="仿宋" w:cs="仿宋"/>
                      <w:b/>
                      <w:bCs/>
                      <w:sz w:val="16"/>
                      <w:szCs w:val="16"/>
                    </w:rPr>
                    <w:t>前8以外及参赛未获奖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color w:val="FF0000"/>
                      <w:sz w:val="16"/>
                      <w:szCs w:val="16"/>
                    </w:rPr>
                  </w:pPr>
                  <w:r>
                    <w:rPr>
                      <w:rFonts w:hint="eastAsia" w:ascii="仿宋" w:hAnsi="仿宋" w:eastAsia="仿宋"/>
                      <w:b/>
                      <w:bCs/>
                      <w:color w:val="FF0000"/>
                      <w:sz w:val="16"/>
                      <w:szCs w:val="16"/>
                    </w:rPr>
                    <w:t>国家级</w:t>
                  </w:r>
                </w:p>
              </w:tc>
              <w:tc>
                <w:tcPr>
                  <w:tcW w:w="989" w:type="pct"/>
                  <w:tcBorders>
                    <w:top w:val="single" w:color="000000" w:sz="8" w:space="0"/>
                    <w:left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5</w:t>
                  </w:r>
                </w:p>
              </w:tc>
              <w:tc>
                <w:tcPr>
                  <w:tcW w:w="990" w:type="pct"/>
                  <w:tcBorders>
                    <w:top w:val="single" w:color="000000" w:sz="8" w:space="0"/>
                    <w:left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4.5</w:t>
                  </w:r>
                </w:p>
              </w:tc>
              <w:tc>
                <w:tcPr>
                  <w:tcW w:w="990" w:type="pct"/>
                  <w:tcBorders>
                    <w:top w:val="single" w:color="000000" w:sz="8" w:space="0"/>
                    <w:left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3.5</w:t>
                  </w:r>
                </w:p>
              </w:tc>
              <w:tc>
                <w:tcPr>
                  <w:tcW w:w="1042" w:type="pct"/>
                  <w:tcBorders>
                    <w:top w:val="single" w:color="000000" w:sz="8" w:space="0"/>
                    <w:left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color w:val="FF0000"/>
                      <w:sz w:val="16"/>
                      <w:szCs w:val="16"/>
                    </w:rPr>
                  </w:pPr>
                  <w:r>
                    <w:rPr>
                      <w:rFonts w:hint="eastAsia" w:ascii="仿宋" w:hAnsi="仿宋" w:eastAsia="仿宋"/>
                      <w:b/>
                      <w:bCs/>
                      <w:color w:val="FF0000"/>
                      <w:sz w:val="16"/>
                      <w:szCs w:val="16"/>
                    </w:rPr>
                    <w:t>省部级</w:t>
                  </w:r>
                </w:p>
              </w:tc>
              <w:tc>
                <w:tcPr>
                  <w:tcW w:w="989" w:type="pct"/>
                  <w:tcBorders>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4</w:t>
                  </w:r>
                </w:p>
              </w:tc>
              <w:tc>
                <w:tcPr>
                  <w:tcW w:w="990" w:type="pct"/>
                  <w:tcBorders>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3.5</w:t>
                  </w:r>
                </w:p>
              </w:tc>
              <w:tc>
                <w:tcPr>
                  <w:tcW w:w="990" w:type="pct"/>
                  <w:tcBorders>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2.5</w:t>
                  </w:r>
                </w:p>
              </w:tc>
              <w:tc>
                <w:tcPr>
                  <w:tcW w:w="1042" w:type="pct"/>
                  <w:tcBorders>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市、校级</w:t>
                  </w:r>
                </w:p>
              </w:tc>
              <w:tc>
                <w:tcPr>
                  <w:tcW w:w="98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3</w:t>
                  </w:r>
                </w:p>
              </w:tc>
              <w:tc>
                <w:tcPr>
                  <w:tcW w:w="988"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color w:val="FF0000"/>
                      <w:sz w:val="16"/>
                      <w:szCs w:val="16"/>
                    </w:rPr>
                    <w:t>2.5</w:t>
                  </w:r>
                </w:p>
              </w:tc>
              <w:tc>
                <w:tcPr>
                  <w:tcW w:w="988"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color w:val="FF0000"/>
                      <w:sz w:val="16"/>
                      <w:szCs w:val="16"/>
                    </w:rPr>
                  </w:pPr>
                  <w:r>
                    <w:rPr>
                      <w:rFonts w:hint="eastAsia" w:eastAsia="Times New Roman"/>
                      <w:sz w:val="16"/>
                      <w:szCs w:val="16"/>
                    </w:rPr>
                    <w:t>2</w:t>
                  </w:r>
                </w:p>
              </w:tc>
              <w:tc>
                <w:tcPr>
                  <w:tcW w:w="1039"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8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院级</w:t>
                  </w:r>
                </w:p>
              </w:tc>
              <w:tc>
                <w:tcPr>
                  <w:tcW w:w="98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c>
                <w:tcPr>
                  <w:tcW w:w="988"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1.5</w:t>
                  </w:r>
                </w:p>
              </w:tc>
              <w:tc>
                <w:tcPr>
                  <w:tcW w:w="988"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c>
                <w:tcPr>
                  <w:tcW w:w="1039"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0.5</w:t>
                  </w:r>
                </w:p>
              </w:tc>
            </w:tr>
          </w:tbl>
          <w:p>
            <w:pPr>
              <w:spacing w:line="240" w:lineRule="auto"/>
              <w:ind w:firstLine="420" w:firstLineChars="200"/>
              <w:rPr>
                <w:rFonts w:ascii="仿宋" w:hAnsi="仿宋" w:eastAsia="仿宋"/>
                <w:sz w:val="21"/>
                <w:szCs w:val="21"/>
              </w:rPr>
            </w:pPr>
            <w:r>
              <w:rPr>
                <w:rFonts w:hint="eastAsia" w:ascii="仿宋" w:hAnsi="仿宋" w:eastAsia="仿宋"/>
                <w:sz w:val="21"/>
                <w:szCs w:val="21"/>
              </w:rPr>
              <w:t>本学年多次参加体育竞赛的，或在一次体育竞赛中参与多个项目的，可以累计加分，但累计加分不得超过10分。</w:t>
            </w:r>
          </w:p>
          <w:p>
            <w:pPr>
              <w:spacing w:line="240" w:lineRule="auto"/>
              <w:ind w:firstLine="420" w:firstLineChars="200"/>
              <w:rPr>
                <w:rFonts w:ascii="仿宋" w:hAnsi="仿宋" w:eastAsia="仿宋" w:cs="仿宋"/>
                <w:sz w:val="21"/>
                <w:szCs w:val="21"/>
              </w:rPr>
            </w:pPr>
            <w:r>
              <w:rPr>
                <w:rFonts w:hint="eastAsia" w:ascii="仿宋" w:hAnsi="仿宋" w:eastAsia="仿宋"/>
                <w:sz w:val="21"/>
                <w:szCs w:val="21"/>
              </w:rPr>
              <w:t>参加文化艺术、思想道德建设等竞赛加分上限为20分。</w:t>
            </w:r>
          </w:p>
        </w:tc>
        <w:tc>
          <w:tcPr>
            <w:tcW w:w="2500" w:type="pct"/>
          </w:tcPr>
          <w:p>
            <w:pPr>
              <w:ind w:firstLine="480" w:firstLineChars="200"/>
              <w:rPr>
                <w:rFonts w:ascii="仿宋" w:hAnsi="仿宋" w:eastAsia="仿宋" w:cs="仿宋"/>
              </w:rPr>
            </w:pPr>
            <w:r>
              <w:rPr>
                <w:rFonts w:hint="eastAsia" w:ascii="仿宋" w:hAnsi="仿宋" w:eastAsia="仿宋" w:cs="仿宋"/>
              </w:rPr>
              <w:t>3.文化艺术、思想道德建设等竞赛活动获奖加分，上限20分</w:t>
            </w:r>
          </w:p>
          <w:p>
            <w:pPr>
              <w:ind w:firstLine="480" w:firstLineChars="200"/>
              <w:rPr>
                <w:rFonts w:ascii="仿宋" w:hAnsi="仿宋" w:eastAsia="仿宋" w:cs="仿宋"/>
              </w:rPr>
            </w:pPr>
            <w:r>
              <w:rPr>
                <w:rFonts w:hint="eastAsia" w:ascii="仿宋" w:hAnsi="仿宋" w:eastAsia="仿宋" w:cs="仿宋"/>
              </w:rPr>
              <w:t>①参加教育部、团中央、省教育厅、团省委、学校等部门主办的征文、演讲、摄影、舞蹈、动漫等比赛活动，且通过选拔入围者，按如下标准加分：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158"/>
              <w:gridCol w:w="932"/>
              <w:gridCol w:w="932"/>
              <w:gridCol w:w="9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48" w:hRule="atLeast"/>
                <w:jc w:val="center"/>
              </w:trPr>
              <w:tc>
                <w:tcPr>
                  <w:tcW w:w="185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hint="eastAsia" w:ascii="仿宋" w:hAnsi="仿宋" w:eastAsia="仿宋"/>
                      <w:b/>
                      <w:bCs/>
                      <w:sz w:val="16"/>
                      <w:szCs w:val="16"/>
                    </w:rPr>
                    <w:t>级别</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一等奖</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二等奖</w:t>
                  </w:r>
                </w:p>
              </w:tc>
              <w:tc>
                <w:tcPr>
                  <w:tcW w:w="156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三等奖</w:t>
                  </w:r>
                </w:p>
              </w:tc>
              <w:tc>
                <w:tcPr>
                  <w:tcW w:w="172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185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国家级</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10</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8</w:t>
                  </w:r>
                </w:p>
              </w:tc>
              <w:tc>
                <w:tcPr>
                  <w:tcW w:w="156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6</w:t>
                  </w:r>
                </w:p>
              </w:tc>
              <w:tc>
                <w:tcPr>
                  <w:tcW w:w="172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185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省部级</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8</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6</w:t>
                  </w:r>
                </w:p>
              </w:tc>
              <w:tc>
                <w:tcPr>
                  <w:tcW w:w="156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c>
                <w:tcPr>
                  <w:tcW w:w="172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185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市、校级</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6</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c>
                <w:tcPr>
                  <w:tcW w:w="156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c>
                <w:tcPr>
                  <w:tcW w:w="172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185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院级</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c>
                <w:tcPr>
                  <w:tcW w:w="156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c>
                <w:tcPr>
                  <w:tcW w:w="156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c>
                <w:tcPr>
                  <w:tcW w:w="172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0.5</w:t>
                  </w:r>
                </w:p>
              </w:tc>
            </w:tr>
          </w:tbl>
          <w:p>
            <w:pPr>
              <w:ind w:firstLine="480" w:firstLineChars="200"/>
              <w:rPr>
                <w:rFonts w:ascii="仿宋" w:hAnsi="仿宋" w:eastAsia="仿宋" w:cs="仿宋"/>
              </w:rPr>
            </w:pPr>
            <w:r>
              <w:rPr>
                <w:rFonts w:hint="eastAsia" w:ascii="仿宋" w:hAnsi="仿宋" w:eastAsia="仿宋" w:cs="仿宋"/>
              </w:rPr>
              <w:t>以团体名义参赛者，加分计相应分值的50%。获奖等级按名次设定，则第1、2名以一等奖计；第3至5名按二等奖计；第6至8名按三等奖计。参加同一活动不同级别的活动获奖者，以最高分计，不重复计分。参加由民间团体、学生组织自行组织的各类比赛以及体育活动不在此加分。</w:t>
            </w:r>
          </w:p>
          <w:p>
            <w:pPr>
              <w:ind w:firstLine="480" w:firstLineChars="200"/>
              <w:rPr>
                <w:rFonts w:ascii="仿宋" w:hAnsi="仿宋" w:eastAsia="仿宋" w:cs="仿宋"/>
              </w:rPr>
            </w:pPr>
            <w:r>
              <w:rPr>
                <w:rFonts w:hint="eastAsia" w:ascii="仿宋" w:hAnsi="仿宋" w:eastAsia="仿宋" w:cs="仿宋"/>
              </w:rPr>
              <w:t>②积极参加体育竞赛活动，按如下标准加分：</w:t>
            </w:r>
          </w:p>
          <w:p>
            <w:pPr>
              <w:ind w:firstLine="480"/>
              <w:rPr>
                <w:rFonts w:ascii="仿宋" w:hAnsi="仿宋" w:eastAsia="仿宋" w:cs="仿宋"/>
              </w:rPr>
            </w:pPr>
            <w:r>
              <w:rPr>
                <w:rFonts w:hint="eastAsia" w:ascii="仿宋" w:hAnsi="仿宋" w:eastAsia="仿宋" w:cs="仿宋"/>
              </w:rPr>
              <w:t>a.个人项目</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967"/>
              <w:gridCol w:w="932"/>
              <w:gridCol w:w="1013"/>
              <w:gridCol w:w="1014"/>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trPr>
              <w:tc>
                <w:tcPr>
                  <w:tcW w:w="97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级别</w:t>
                  </w:r>
                </w:p>
              </w:tc>
              <w:tc>
                <w:tcPr>
                  <w:tcW w:w="93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第1名</w:t>
                  </w:r>
                </w:p>
              </w:tc>
              <w:tc>
                <w:tcPr>
                  <w:tcW w:w="101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第2-3名</w:t>
                  </w:r>
                </w:p>
              </w:tc>
              <w:tc>
                <w:tcPr>
                  <w:tcW w:w="1017"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第4-8名</w:t>
                  </w:r>
                </w:p>
              </w:tc>
              <w:tc>
                <w:tcPr>
                  <w:tcW w:w="10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宋体" w:hAnsi="宋体"/>
                      <w:b/>
                      <w:bCs/>
                      <w:sz w:val="16"/>
                      <w:szCs w:val="16"/>
                    </w:rPr>
                  </w:pPr>
                  <w:r>
                    <w:rPr>
                      <w:rFonts w:eastAsia="Times New Roman"/>
                      <w:b/>
                      <w:bCs/>
                      <w:sz w:val="16"/>
                      <w:szCs w:val="16"/>
                    </w:rPr>
                    <w:t>8</w:t>
                  </w:r>
                  <w:r>
                    <w:rPr>
                      <w:rFonts w:ascii="宋体" w:hAnsi="宋体"/>
                      <w:b/>
                      <w:bCs/>
                      <w:sz w:val="16"/>
                      <w:szCs w:val="16"/>
                    </w:rPr>
                    <w:t>名以上及参赛未获奖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trPr>
              <w:tc>
                <w:tcPr>
                  <w:tcW w:w="97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16"/>
                      <w:szCs w:val="16"/>
                    </w:rPr>
                  </w:pPr>
                  <w:r>
                    <w:rPr>
                      <w:rFonts w:ascii="仿宋" w:hAnsi="仿宋" w:eastAsia="仿宋"/>
                      <w:strike/>
                      <w:color w:val="0070C0"/>
                      <w:sz w:val="16"/>
                      <w:szCs w:val="16"/>
                    </w:rPr>
                    <w:t>省级及以上</w:t>
                  </w:r>
                </w:p>
              </w:tc>
              <w:tc>
                <w:tcPr>
                  <w:tcW w:w="93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8</w:t>
                  </w:r>
                </w:p>
              </w:tc>
              <w:tc>
                <w:tcPr>
                  <w:tcW w:w="101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7</w:t>
                  </w:r>
                </w:p>
              </w:tc>
              <w:tc>
                <w:tcPr>
                  <w:tcW w:w="1017"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trike/>
                      <w:color w:val="0070C0"/>
                      <w:sz w:val="16"/>
                      <w:szCs w:val="16"/>
                    </w:rPr>
                  </w:pPr>
                  <w:r>
                    <w:rPr>
                      <w:rFonts w:ascii="仿宋" w:hAnsi="仿宋" w:eastAsia="仿宋"/>
                      <w:strike/>
                      <w:color w:val="0070C0"/>
                      <w:sz w:val="16"/>
                      <w:szCs w:val="16"/>
                    </w:rPr>
                    <w:t>6</w:t>
                  </w:r>
                </w:p>
              </w:tc>
              <w:tc>
                <w:tcPr>
                  <w:tcW w:w="10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trike/>
                      <w:color w:val="0070C0"/>
                      <w:sz w:val="16"/>
                      <w:szCs w:val="16"/>
                    </w:rPr>
                  </w:pPr>
                  <w:r>
                    <w:rPr>
                      <w:rFonts w:ascii="仿宋" w:hAnsi="仿宋" w:eastAsia="仿宋"/>
                      <w:strike/>
                      <w:color w:val="0070C0"/>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trPr>
              <w:tc>
                <w:tcPr>
                  <w:tcW w:w="97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16"/>
                      <w:szCs w:val="16"/>
                    </w:rPr>
                  </w:pPr>
                  <w:r>
                    <w:rPr>
                      <w:rFonts w:ascii="仿宋" w:hAnsi="仿宋" w:eastAsia="仿宋"/>
                      <w:sz w:val="16"/>
                      <w:szCs w:val="16"/>
                    </w:rPr>
                    <w:t>市、校级</w:t>
                  </w:r>
                </w:p>
              </w:tc>
              <w:tc>
                <w:tcPr>
                  <w:tcW w:w="93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6</w:t>
                  </w:r>
                </w:p>
              </w:tc>
              <w:tc>
                <w:tcPr>
                  <w:tcW w:w="101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5</w:t>
                  </w:r>
                </w:p>
              </w:tc>
              <w:tc>
                <w:tcPr>
                  <w:tcW w:w="1017"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ascii="仿宋" w:hAnsi="仿宋" w:eastAsia="仿宋"/>
                      <w:sz w:val="16"/>
                      <w:szCs w:val="16"/>
                    </w:rPr>
                    <w:t>4</w:t>
                  </w:r>
                </w:p>
              </w:tc>
              <w:tc>
                <w:tcPr>
                  <w:tcW w:w="10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trPr>
              <w:tc>
                <w:tcPr>
                  <w:tcW w:w="97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16"/>
                      <w:szCs w:val="16"/>
                    </w:rPr>
                  </w:pPr>
                  <w:r>
                    <w:rPr>
                      <w:rFonts w:ascii="仿宋" w:hAnsi="仿宋" w:eastAsia="仿宋"/>
                      <w:sz w:val="16"/>
                      <w:szCs w:val="16"/>
                    </w:rPr>
                    <w:t>院级</w:t>
                  </w:r>
                </w:p>
              </w:tc>
              <w:tc>
                <w:tcPr>
                  <w:tcW w:w="935"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4</w:t>
                  </w:r>
                </w:p>
              </w:tc>
              <w:tc>
                <w:tcPr>
                  <w:tcW w:w="101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3</w:t>
                  </w:r>
                </w:p>
              </w:tc>
              <w:tc>
                <w:tcPr>
                  <w:tcW w:w="1017"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c>
                <w:tcPr>
                  <w:tcW w:w="106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r>
          </w:tbl>
          <w:p>
            <w:pPr>
              <w:ind w:firstLine="480"/>
              <w:rPr>
                <w:rFonts w:ascii="仿宋" w:hAnsi="仿宋" w:eastAsia="仿宋"/>
              </w:rPr>
            </w:pPr>
            <w:r>
              <w:rPr>
                <w:rFonts w:hint="eastAsia" w:ascii="仿宋" w:hAnsi="仿宋" w:eastAsia="仿宋"/>
              </w:rPr>
              <w:t>b.团体项目</w:t>
            </w:r>
          </w:p>
          <w:tbl>
            <w:tblPr>
              <w:tblStyle w:val="4"/>
              <w:tblpPr w:leftFromText="180" w:rightFromText="180" w:vertAnchor="text" w:horzAnchor="page" w:tblpX="1920" w:tblpY="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963"/>
              <w:gridCol w:w="1068"/>
              <w:gridCol w:w="1004"/>
              <w:gridCol w:w="919"/>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96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级别</w:t>
                  </w:r>
                </w:p>
              </w:tc>
              <w:tc>
                <w:tcPr>
                  <w:tcW w:w="107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第1名</w:t>
                  </w:r>
                </w:p>
              </w:tc>
              <w:tc>
                <w:tcPr>
                  <w:tcW w:w="1007"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第2-3名</w:t>
                  </w:r>
                </w:p>
              </w:tc>
              <w:tc>
                <w:tcPr>
                  <w:tcW w:w="92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16"/>
                      <w:szCs w:val="16"/>
                    </w:rPr>
                  </w:pPr>
                  <w:r>
                    <w:rPr>
                      <w:rFonts w:ascii="仿宋" w:hAnsi="仿宋" w:eastAsia="仿宋"/>
                      <w:b/>
                      <w:bCs/>
                      <w:sz w:val="16"/>
                      <w:szCs w:val="16"/>
                    </w:rPr>
                    <w:t>第4-8名</w:t>
                  </w:r>
                </w:p>
              </w:tc>
              <w:tc>
                <w:tcPr>
                  <w:tcW w:w="103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宋体" w:hAnsi="宋体"/>
                      <w:b/>
                      <w:bCs/>
                      <w:sz w:val="16"/>
                      <w:szCs w:val="16"/>
                    </w:rPr>
                  </w:pPr>
                  <w:r>
                    <w:rPr>
                      <w:rFonts w:eastAsia="Times New Roman"/>
                      <w:b/>
                      <w:bCs/>
                      <w:sz w:val="16"/>
                      <w:szCs w:val="16"/>
                    </w:rPr>
                    <w:t>8</w:t>
                  </w:r>
                  <w:r>
                    <w:rPr>
                      <w:rFonts w:ascii="宋体" w:hAnsi="宋体"/>
                      <w:b/>
                      <w:bCs/>
                      <w:sz w:val="16"/>
                      <w:szCs w:val="16"/>
                    </w:rPr>
                    <w:t>名以上及参赛未获奖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trPr>
              <w:tc>
                <w:tcPr>
                  <w:tcW w:w="96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trike/>
                      <w:sz w:val="16"/>
                      <w:szCs w:val="16"/>
                    </w:rPr>
                  </w:pPr>
                  <w:r>
                    <w:rPr>
                      <w:rFonts w:ascii="仿宋" w:hAnsi="仿宋" w:eastAsia="仿宋"/>
                      <w:strike/>
                      <w:color w:val="0070C0"/>
                      <w:sz w:val="16"/>
                      <w:szCs w:val="16"/>
                    </w:rPr>
                    <w:t>省级及以上</w:t>
                  </w:r>
                </w:p>
              </w:tc>
              <w:tc>
                <w:tcPr>
                  <w:tcW w:w="107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trike/>
                      <w:color w:val="0070C0"/>
                      <w:sz w:val="16"/>
                      <w:szCs w:val="16"/>
                    </w:rPr>
                  </w:pPr>
                  <w:r>
                    <w:rPr>
                      <w:rFonts w:eastAsia="Times New Roman"/>
                      <w:strike/>
                      <w:color w:val="0070C0"/>
                      <w:sz w:val="16"/>
                      <w:szCs w:val="16"/>
                    </w:rPr>
                    <w:t>8</w:t>
                  </w:r>
                </w:p>
              </w:tc>
              <w:tc>
                <w:tcPr>
                  <w:tcW w:w="1007"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trike/>
                      <w:color w:val="0070C0"/>
                      <w:sz w:val="16"/>
                      <w:szCs w:val="16"/>
                    </w:rPr>
                  </w:pPr>
                  <w:r>
                    <w:rPr>
                      <w:rFonts w:eastAsia="Times New Roman"/>
                      <w:strike/>
                      <w:color w:val="0070C0"/>
                      <w:sz w:val="16"/>
                      <w:szCs w:val="16"/>
                    </w:rPr>
                    <w:t>7</w:t>
                  </w:r>
                </w:p>
              </w:tc>
              <w:tc>
                <w:tcPr>
                  <w:tcW w:w="92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trike/>
                      <w:color w:val="0070C0"/>
                      <w:sz w:val="16"/>
                      <w:szCs w:val="16"/>
                    </w:rPr>
                  </w:pPr>
                  <w:r>
                    <w:rPr>
                      <w:rFonts w:eastAsia="Times New Roman"/>
                      <w:strike/>
                      <w:color w:val="0070C0"/>
                      <w:sz w:val="16"/>
                      <w:szCs w:val="16"/>
                    </w:rPr>
                    <w:t>6</w:t>
                  </w:r>
                </w:p>
              </w:tc>
              <w:tc>
                <w:tcPr>
                  <w:tcW w:w="103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trike/>
                      <w:color w:val="0070C0"/>
                      <w:sz w:val="16"/>
                      <w:szCs w:val="16"/>
                    </w:rPr>
                  </w:pPr>
                  <w:r>
                    <w:rPr>
                      <w:rFonts w:eastAsia="Times New Roman"/>
                      <w:strike/>
                      <w:color w:val="0070C0"/>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trPr>
              <w:tc>
                <w:tcPr>
                  <w:tcW w:w="96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16"/>
                      <w:szCs w:val="16"/>
                    </w:rPr>
                  </w:pPr>
                  <w:r>
                    <w:rPr>
                      <w:rFonts w:ascii="仿宋" w:hAnsi="仿宋" w:eastAsia="仿宋"/>
                      <w:sz w:val="16"/>
                      <w:szCs w:val="16"/>
                    </w:rPr>
                    <w:t>市、校级</w:t>
                  </w:r>
                </w:p>
              </w:tc>
              <w:tc>
                <w:tcPr>
                  <w:tcW w:w="107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trike/>
                      <w:color w:val="0070C0"/>
                      <w:sz w:val="16"/>
                      <w:szCs w:val="16"/>
                    </w:rPr>
                  </w:pPr>
                  <w:r>
                    <w:rPr>
                      <w:rFonts w:eastAsia="Times New Roman"/>
                      <w:strike/>
                      <w:color w:val="0070C0"/>
                      <w:sz w:val="16"/>
                      <w:szCs w:val="16"/>
                    </w:rPr>
                    <w:t>4</w:t>
                  </w:r>
                </w:p>
              </w:tc>
              <w:tc>
                <w:tcPr>
                  <w:tcW w:w="1007"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trike/>
                      <w:color w:val="0070C0"/>
                      <w:sz w:val="16"/>
                      <w:szCs w:val="16"/>
                    </w:rPr>
                  </w:pPr>
                  <w:r>
                    <w:rPr>
                      <w:rFonts w:eastAsia="Times New Roman"/>
                      <w:strike/>
                      <w:color w:val="0070C0"/>
                      <w:sz w:val="16"/>
                      <w:szCs w:val="16"/>
                    </w:rPr>
                    <w:t>3</w:t>
                  </w:r>
                </w:p>
              </w:tc>
              <w:tc>
                <w:tcPr>
                  <w:tcW w:w="92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trike/>
                      <w:color w:val="0070C0"/>
                      <w:sz w:val="16"/>
                      <w:szCs w:val="16"/>
                    </w:rPr>
                  </w:pPr>
                  <w:r>
                    <w:rPr>
                      <w:rFonts w:eastAsia="Times New Roman"/>
                      <w:strike/>
                      <w:color w:val="0070C0"/>
                      <w:sz w:val="16"/>
                      <w:szCs w:val="16"/>
                    </w:rPr>
                    <w:t>2</w:t>
                  </w:r>
                </w:p>
              </w:tc>
              <w:tc>
                <w:tcPr>
                  <w:tcW w:w="103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trPr>
              <w:tc>
                <w:tcPr>
                  <w:tcW w:w="96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16"/>
                      <w:szCs w:val="16"/>
                    </w:rPr>
                  </w:pPr>
                  <w:r>
                    <w:rPr>
                      <w:rFonts w:ascii="仿宋" w:hAnsi="仿宋" w:eastAsia="仿宋"/>
                      <w:sz w:val="16"/>
                      <w:szCs w:val="16"/>
                    </w:rPr>
                    <w:t>院级</w:t>
                  </w:r>
                </w:p>
              </w:tc>
              <w:tc>
                <w:tcPr>
                  <w:tcW w:w="107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2</w:t>
                  </w:r>
                </w:p>
              </w:tc>
              <w:tc>
                <w:tcPr>
                  <w:tcW w:w="1007"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1.5</w:t>
                  </w:r>
                </w:p>
              </w:tc>
              <w:tc>
                <w:tcPr>
                  <w:tcW w:w="92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1</w:t>
                  </w:r>
                </w:p>
              </w:tc>
              <w:tc>
                <w:tcPr>
                  <w:tcW w:w="1033"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16"/>
                      <w:szCs w:val="16"/>
                    </w:rPr>
                  </w:pPr>
                  <w:r>
                    <w:rPr>
                      <w:rFonts w:eastAsia="Times New Roman"/>
                      <w:sz w:val="16"/>
                      <w:szCs w:val="16"/>
                    </w:rPr>
                    <w:t>0.5</w:t>
                  </w:r>
                </w:p>
              </w:tc>
            </w:tr>
          </w:tbl>
          <w:p>
            <w:pPr>
              <w:ind w:firstLine="480"/>
              <w:rPr>
                <w:rFonts w:ascii="仿宋" w:hAnsi="仿宋" w:eastAsia="仿宋"/>
              </w:rPr>
            </w:pPr>
            <w:r>
              <w:rPr>
                <w:rFonts w:hint="eastAsia" w:ascii="仿宋" w:hAnsi="仿宋" w:eastAsia="仿宋"/>
              </w:rPr>
              <w:t>（本学年多次参加体育比赛的，或在一次比赛中参与多个项目的，可累计加分，但累计总分不得高于10分。）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tcPr>
          <w:p>
            <w:pPr>
              <w:spacing w:line="240" w:lineRule="auto"/>
              <w:ind w:firstLine="422" w:firstLineChars="200"/>
              <w:rPr>
                <w:rFonts w:ascii="仿宋" w:hAnsi="仿宋" w:eastAsia="仿宋" w:cs="仿宋"/>
                <w:sz w:val="21"/>
                <w:szCs w:val="21"/>
              </w:rPr>
            </w:pPr>
            <w:r>
              <w:rPr>
                <w:rFonts w:hint="eastAsia" w:ascii="仿宋" w:hAnsi="仿宋" w:eastAsia="仿宋" w:cs="仿宋"/>
                <w:b/>
                <w:bCs/>
                <w:sz w:val="21"/>
                <w:szCs w:val="21"/>
              </w:rPr>
              <w:t>第四十条  【获得相关荣誉加分】</w:t>
            </w:r>
            <w:r>
              <w:rPr>
                <w:rFonts w:hint="eastAsia" w:ascii="仿宋" w:hAnsi="仿宋" w:eastAsia="仿宋" w:cs="仿宋"/>
                <w:sz w:val="21"/>
                <w:szCs w:val="21"/>
              </w:rPr>
              <w:t>获得本条相关荣誉的，可以按照以下标准申请获得相关荣誉加分：</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（一）本学年度获得“优秀共产党员”、“社区党员之星”、“优秀团员”、“优秀团干”等荣誉的，按照以下标准加分：</w:t>
            </w:r>
          </w:p>
          <w:tbl>
            <w:tblPr>
              <w:tblStyle w:val="4"/>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996"/>
              <w:gridCol w:w="996"/>
              <w:gridCol w:w="996"/>
              <w:gridCol w:w="99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省部级</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市、校级</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宋体" w:hAnsi="宋体"/>
                      <w:sz w:val="21"/>
                      <w:szCs w:val="21"/>
                    </w:rPr>
                  </w:pPr>
                  <w:r>
                    <w:rPr>
                      <w:rFonts w:hint="eastAsia" w:ascii="仿宋" w:hAnsi="仿宋" w:eastAsia="仿宋" w:cs="仿宋"/>
                      <w:sz w:val="21"/>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15</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12</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10</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8</w:t>
                  </w:r>
                </w:p>
              </w:tc>
            </w:tr>
          </w:tbl>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（二）所属集体本学年度获得“先进党支部”、“先进班集体”等先进集体荣誉的，按照以下标准加分：</w:t>
            </w:r>
          </w:p>
          <w:tbl>
            <w:tblPr>
              <w:tblStyle w:val="4"/>
              <w:tblpPr w:leftFromText="180" w:rightFromText="180" w:vertAnchor="text" w:horzAnchor="page" w:tblpXSpec="center" w:tblpY="87"/>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996"/>
              <w:gridCol w:w="996"/>
              <w:gridCol w:w="996"/>
              <w:gridCol w:w="996"/>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省部级</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市、校级</w:t>
                  </w:r>
                </w:p>
              </w:tc>
              <w:tc>
                <w:tcPr>
                  <w:tcW w:w="100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宋体" w:hAnsi="宋体"/>
                      <w:sz w:val="21"/>
                      <w:szCs w:val="21"/>
                    </w:rPr>
                  </w:pPr>
                  <w:r>
                    <w:rPr>
                      <w:rFonts w:hint="eastAsia" w:ascii="仿宋" w:hAnsi="仿宋" w:eastAsia="仿宋" w:cs="仿宋"/>
                      <w:sz w:val="21"/>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8</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6</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4</w:t>
                  </w:r>
                </w:p>
              </w:tc>
              <w:tc>
                <w:tcPr>
                  <w:tcW w:w="100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2</w:t>
                  </w:r>
                </w:p>
              </w:tc>
            </w:tr>
          </w:tbl>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获得前款所涉荣誉，但荣誉评选周期为半年的，可以申请加对应分值一半的分。</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获得相关荣誉加分上限为20分。</w:t>
            </w:r>
          </w:p>
        </w:tc>
        <w:tc>
          <w:tcPr>
            <w:tcW w:w="2500" w:type="pct"/>
          </w:tcPr>
          <w:p>
            <w:pPr>
              <w:spacing w:line="276" w:lineRule="auto"/>
              <w:ind w:firstLine="480"/>
              <w:rPr>
                <w:rFonts w:ascii="仿宋" w:hAnsi="仿宋" w:eastAsia="仿宋"/>
              </w:rPr>
            </w:pPr>
            <w:r>
              <w:rPr>
                <w:rFonts w:hint="eastAsia" w:ascii="仿宋" w:hAnsi="仿宋" w:eastAsia="仿宋"/>
              </w:rPr>
              <w:t>4.获得本部分内容相关的荣誉加分，上限20分</w:t>
            </w:r>
          </w:p>
          <w:p>
            <w:pPr>
              <w:spacing w:line="276" w:lineRule="auto"/>
              <w:ind w:firstLine="480"/>
              <w:rPr>
                <w:rFonts w:ascii="仿宋" w:hAnsi="仿宋" w:eastAsia="仿宋"/>
              </w:rPr>
            </w:pPr>
            <w:r>
              <w:rPr>
                <w:rFonts w:hint="eastAsia" w:ascii="仿宋" w:hAnsi="仿宋" w:eastAsia="仿宋"/>
              </w:rPr>
              <w:t>按如下标准加分：</w:t>
            </w:r>
          </w:p>
          <w:p>
            <w:pPr>
              <w:spacing w:line="276" w:lineRule="auto"/>
              <w:ind w:firstLine="480"/>
              <w:rPr>
                <w:rFonts w:ascii="仿宋" w:hAnsi="仿宋" w:eastAsia="仿宋"/>
              </w:rPr>
            </w:pPr>
            <w:r>
              <w:rPr>
                <w:rFonts w:hint="eastAsia" w:ascii="仿宋" w:hAnsi="仿宋" w:eastAsia="仿宋"/>
              </w:rPr>
              <w:t xml:space="preserve">本学年度获得“优秀共产党员”、“社区党员之星”、“优秀团员”、“优秀团干”等。加分标准为：国家级加15分，省部级加12分，市级、校级加10分，院级加8分； </w:t>
            </w:r>
          </w:p>
          <w:p>
            <w:pPr>
              <w:spacing w:line="276" w:lineRule="auto"/>
              <w:ind w:firstLine="480"/>
              <w:rPr>
                <w:rFonts w:ascii="仿宋" w:hAnsi="仿宋" w:eastAsia="仿宋"/>
              </w:rPr>
            </w:pPr>
            <w:r>
              <w:rPr>
                <w:rFonts w:hint="eastAsia" w:ascii="仿宋" w:hAnsi="仿宋" w:eastAsia="仿宋"/>
              </w:rPr>
              <w:t>本学年度获得“先进党支部”、“先进班集体”等先进集体，所属该集体的学生均可奖励加分。标准为：国家级加8分/人，省部级加6分/人，市、校级加4分/人，院级加2分/人；</w:t>
            </w:r>
          </w:p>
          <w:p>
            <w:pPr>
              <w:spacing w:line="276" w:lineRule="auto"/>
              <w:rPr>
                <w:rFonts w:ascii="仿宋" w:hAnsi="仿宋" w:eastAsia="仿宋" w:cs="仿宋"/>
              </w:rPr>
            </w:pPr>
            <w:r>
              <w:rPr>
                <w:rFonts w:hint="eastAsia" w:ascii="仿宋" w:hAnsi="仿宋" w:eastAsia="仿宋"/>
              </w:rPr>
              <w:t>（注：凡以半年为周期进行评选的荣誉奖项，则对应加分减半）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22" w:firstLineChars="200"/>
              <w:rPr>
                <w:rFonts w:ascii="仿宋" w:hAnsi="仿宋" w:eastAsia="仿宋" w:cs="仿宋"/>
                <w:sz w:val="21"/>
                <w:szCs w:val="21"/>
              </w:rPr>
            </w:pPr>
            <w:r>
              <w:rPr>
                <w:rFonts w:hint="eastAsia" w:ascii="仿宋" w:hAnsi="仿宋" w:eastAsia="仿宋" w:cs="仿宋"/>
                <w:b/>
                <w:bCs/>
                <w:sz w:val="21"/>
                <w:szCs w:val="21"/>
              </w:rPr>
              <w:t>第四十一条  【参加不设奖项的活动加分】</w:t>
            </w:r>
            <w:r>
              <w:rPr>
                <w:rFonts w:hint="eastAsia" w:ascii="仿宋" w:hAnsi="仿宋" w:eastAsia="仿宋" w:cs="仿宋"/>
                <w:sz w:val="21"/>
                <w:szCs w:val="21"/>
              </w:rPr>
              <w:t>参加不设奖项的活动的，可以按照以下标准申请参加不设奖项的活动加分：</w:t>
            </w:r>
          </w:p>
          <w:p>
            <w:pPr>
              <w:spacing w:line="240" w:lineRule="auto"/>
              <w:ind w:firstLine="480"/>
              <w:rPr>
                <w:rFonts w:ascii="仿宋" w:hAnsi="仿宋" w:eastAsia="仿宋" w:cs="仿宋"/>
                <w:sz w:val="21"/>
                <w:szCs w:val="21"/>
              </w:rPr>
            </w:pPr>
            <w:r>
              <w:rPr>
                <w:rFonts w:hint="eastAsia" w:ascii="仿宋" w:hAnsi="仿宋" w:eastAsia="仿宋" w:cs="仿宋"/>
                <w:sz w:val="21"/>
                <w:szCs w:val="21"/>
              </w:rPr>
              <w:t>（一）在见义勇为、拾金不昧、帮弱助残、抢险救灾、抢救伤残等方面有突出事迹，受到表彰和通报表扬的，按照以下标准加分：</w:t>
            </w:r>
          </w:p>
          <w:tbl>
            <w:tblPr>
              <w:tblStyle w:val="4"/>
              <w:tblpPr w:leftFromText="180" w:rightFromText="180" w:vertAnchor="text" w:horzAnchor="page" w:tblpXSpec="center" w:tblpY="87"/>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829"/>
              <w:gridCol w:w="829"/>
              <w:gridCol w:w="829"/>
              <w:gridCol w:w="831"/>
              <w:gridCol w:w="83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级别</w:t>
                  </w:r>
                </w:p>
              </w:tc>
              <w:tc>
                <w:tcPr>
                  <w:tcW w:w="83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国家级</w:t>
                  </w:r>
                </w:p>
              </w:tc>
              <w:tc>
                <w:tcPr>
                  <w:tcW w:w="83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省部级</w:t>
                  </w:r>
                </w:p>
              </w:tc>
              <w:tc>
                <w:tcPr>
                  <w:tcW w:w="83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市级</w:t>
                  </w:r>
                </w:p>
              </w:tc>
              <w:tc>
                <w:tcPr>
                  <w:tcW w:w="83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cs="仿宋"/>
                      <w:sz w:val="21"/>
                      <w:szCs w:val="21"/>
                    </w:rPr>
                  </w:pPr>
                  <w:r>
                    <w:rPr>
                      <w:rFonts w:hint="eastAsia" w:ascii="仿宋" w:hAnsi="仿宋" w:eastAsia="仿宋" w:cs="仿宋"/>
                      <w:sz w:val="21"/>
                      <w:szCs w:val="21"/>
                    </w:rPr>
                    <w:t>校级</w:t>
                  </w:r>
                </w:p>
              </w:tc>
              <w:tc>
                <w:tcPr>
                  <w:tcW w:w="83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宋体" w:hAnsi="宋体"/>
                      <w:sz w:val="21"/>
                      <w:szCs w:val="21"/>
                    </w:rPr>
                  </w:pPr>
                  <w:r>
                    <w:rPr>
                      <w:rFonts w:hint="eastAsia" w:ascii="仿宋" w:hAnsi="仿宋" w:eastAsia="仿宋" w:cs="仿宋"/>
                      <w:sz w:val="21"/>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分数</w:t>
                  </w:r>
                </w:p>
              </w:tc>
              <w:tc>
                <w:tcPr>
                  <w:tcW w:w="83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5</w:t>
                  </w:r>
                </w:p>
              </w:tc>
              <w:tc>
                <w:tcPr>
                  <w:tcW w:w="832"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4</w:t>
                  </w:r>
                </w:p>
              </w:tc>
              <w:tc>
                <w:tcPr>
                  <w:tcW w:w="83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3</w:t>
                  </w:r>
                </w:p>
              </w:tc>
              <w:tc>
                <w:tcPr>
                  <w:tcW w:w="834"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2</w:t>
                  </w:r>
                </w:p>
              </w:tc>
              <w:tc>
                <w:tcPr>
                  <w:tcW w:w="836"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1</w:t>
                  </w:r>
                </w:p>
              </w:tc>
            </w:tr>
          </w:tbl>
          <w:p>
            <w:pPr>
              <w:ind w:firstLine="480"/>
              <w:rPr>
                <w:rFonts w:ascii="仿宋" w:hAnsi="仿宋" w:eastAsia="仿宋"/>
                <w:sz w:val="21"/>
                <w:szCs w:val="21"/>
              </w:rPr>
            </w:pPr>
            <w:r>
              <w:rPr>
                <w:rFonts w:hint="eastAsia" w:ascii="仿宋" w:hAnsi="仿宋" w:eastAsia="仿宋"/>
                <w:sz w:val="21"/>
                <w:szCs w:val="21"/>
              </w:rPr>
              <w:t>（二）参加无偿献血一次，可以申请加1分，但本项加分不得超过2分。</w:t>
            </w:r>
          </w:p>
          <w:p>
            <w:pPr>
              <w:ind w:firstLine="480"/>
              <w:rPr>
                <w:rFonts w:ascii="仿宋" w:hAnsi="仿宋" w:eastAsia="仿宋"/>
                <w:sz w:val="21"/>
                <w:szCs w:val="21"/>
              </w:rPr>
            </w:pPr>
            <w:r>
              <w:rPr>
                <w:rFonts w:hint="eastAsia" w:ascii="仿宋" w:hAnsi="仿宋" w:eastAsia="仿宋"/>
                <w:sz w:val="21"/>
                <w:szCs w:val="21"/>
              </w:rPr>
              <w:t>（三）参加一次学院及院级以上单位举办的不设奖项的活动，</w:t>
            </w:r>
            <w:r>
              <w:rPr>
                <w:rFonts w:hint="eastAsia" w:ascii="仿宋" w:hAnsi="仿宋" w:eastAsia="仿宋"/>
                <w:color w:val="FF0000"/>
                <w:sz w:val="21"/>
                <w:szCs w:val="21"/>
              </w:rPr>
              <w:t>不是组织本次活动的学生干部，</w:t>
            </w:r>
            <w:r>
              <w:rPr>
                <w:rFonts w:hint="eastAsia" w:ascii="仿宋" w:hAnsi="仿宋" w:eastAsia="仿宋"/>
                <w:sz w:val="21"/>
                <w:szCs w:val="21"/>
              </w:rPr>
              <w:t>未获相应单位表彰的，可以申请加0.5分；</w:t>
            </w:r>
            <w:r>
              <w:rPr>
                <w:rFonts w:hint="eastAsia" w:ascii="仿宋" w:hAnsi="仿宋" w:eastAsia="仿宋"/>
                <w:color w:val="FF0000"/>
                <w:sz w:val="21"/>
                <w:szCs w:val="21"/>
              </w:rPr>
              <w:t>获相应单位表彰的，可以申请加1.5分。</w:t>
            </w:r>
          </w:p>
          <w:p>
            <w:pPr>
              <w:ind w:firstLine="480"/>
              <w:rPr>
                <w:rFonts w:ascii="仿宋" w:hAnsi="仿宋" w:eastAsia="仿宋"/>
                <w:sz w:val="21"/>
                <w:szCs w:val="21"/>
              </w:rPr>
            </w:pPr>
            <w:r>
              <w:rPr>
                <w:rFonts w:hint="eastAsia" w:ascii="仿宋" w:hAnsi="仿宋" w:eastAsia="仿宋"/>
                <w:sz w:val="21"/>
                <w:szCs w:val="21"/>
              </w:rPr>
              <w:t>（四）参加学院及院级以上单位举办的志愿者服务活动一次，本次活动的志愿服务时长已经录入i志愿系统，未获相应单位表彰的，每有一小时志愿时记录，可以申请加0.2分；</w:t>
            </w:r>
            <w:r>
              <w:rPr>
                <w:rFonts w:hint="eastAsia" w:ascii="仿宋" w:hAnsi="仿宋" w:eastAsia="仿宋"/>
                <w:color w:val="FF0000"/>
                <w:sz w:val="21"/>
                <w:szCs w:val="21"/>
              </w:rPr>
              <w:t>获相应单位表彰的，每有一个小时志愿时记录，可以申请加0.6分。</w:t>
            </w:r>
          </w:p>
          <w:p>
            <w:pPr>
              <w:ind w:firstLine="480"/>
              <w:rPr>
                <w:rFonts w:ascii="仿宋" w:hAnsi="仿宋" w:eastAsia="仿宋"/>
                <w:color w:val="FF0000"/>
                <w:sz w:val="21"/>
                <w:szCs w:val="21"/>
              </w:rPr>
            </w:pPr>
            <w:r>
              <w:rPr>
                <w:rFonts w:hint="eastAsia" w:ascii="仿宋" w:hAnsi="仿宋" w:eastAsia="仿宋"/>
                <w:color w:val="FF0000"/>
                <w:sz w:val="21"/>
                <w:szCs w:val="21"/>
              </w:rPr>
              <w:t>参加学院及院级以上单位举办的志愿者服务活动，单次志愿服务时长不少于2.5小时的，可以申请按照前款第（三）项标准加分。</w:t>
            </w:r>
          </w:p>
          <w:p>
            <w:pPr>
              <w:ind w:firstLine="480"/>
              <w:rPr>
                <w:rFonts w:ascii="仿宋" w:hAnsi="仿宋" w:eastAsia="仿宋"/>
                <w:color w:val="FF0000"/>
                <w:sz w:val="21"/>
                <w:szCs w:val="21"/>
              </w:rPr>
            </w:pPr>
            <w:r>
              <w:rPr>
                <w:rFonts w:hint="eastAsia" w:ascii="仿宋" w:hAnsi="仿宋" w:eastAsia="仿宋"/>
                <w:color w:val="FF0000"/>
                <w:sz w:val="21"/>
                <w:szCs w:val="21"/>
              </w:rPr>
              <w:t>学院及院级以上单位举办的设奖项活动，但所设奖项不分等级的，以不设奖项的活动论。</w:t>
            </w:r>
          </w:p>
          <w:p>
            <w:pPr>
              <w:ind w:firstLine="480"/>
              <w:rPr>
                <w:rFonts w:ascii="仿宋" w:hAnsi="仿宋" w:eastAsia="仿宋"/>
                <w:sz w:val="21"/>
                <w:szCs w:val="21"/>
              </w:rPr>
            </w:pPr>
            <w:r>
              <w:rPr>
                <w:rFonts w:hint="eastAsia" w:ascii="仿宋" w:hAnsi="仿宋" w:eastAsia="仿宋"/>
                <w:sz w:val="21"/>
                <w:szCs w:val="21"/>
              </w:rPr>
              <w:t>按照第一款第（三）、（四）项标准申请加分的，累计加分不得超过5分。</w:t>
            </w:r>
          </w:p>
          <w:p>
            <w:pPr>
              <w:ind w:firstLine="480"/>
              <w:rPr>
                <w:rFonts w:ascii="仿宋" w:hAnsi="仿宋" w:eastAsia="仿宋"/>
                <w:sz w:val="21"/>
                <w:szCs w:val="21"/>
              </w:rPr>
            </w:pPr>
            <w:r>
              <w:rPr>
                <w:rFonts w:hint="eastAsia" w:ascii="仿宋" w:hAnsi="仿宋" w:eastAsia="仿宋"/>
                <w:sz w:val="21"/>
                <w:szCs w:val="21"/>
              </w:rPr>
              <w:t>按照第一款第（一）至（四）项标准申请加分的，须提供加盖相关单位公章的证明材料，或官网（官微）的通知公告、报道里提供的参与人员名单。</w:t>
            </w:r>
          </w:p>
          <w:p>
            <w:pPr>
              <w:ind w:firstLine="420" w:firstLineChars="200"/>
              <w:rPr>
                <w:rFonts w:ascii="仿宋" w:hAnsi="仿宋" w:eastAsia="仿宋"/>
              </w:rPr>
            </w:pPr>
            <w:r>
              <w:rPr>
                <w:rFonts w:hint="eastAsia" w:ascii="仿宋" w:hAnsi="仿宋" w:eastAsia="仿宋"/>
                <w:sz w:val="21"/>
                <w:szCs w:val="21"/>
              </w:rPr>
              <w:t>参加不设奖项的活动加分上限为10分。</w:t>
            </w:r>
          </w:p>
        </w:tc>
        <w:tc>
          <w:tcPr>
            <w:tcW w:w="2500" w:type="pct"/>
          </w:tcPr>
          <w:p>
            <w:pPr>
              <w:spacing w:line="480" w:lineRule="auto"/>
              <w:ind w:firstLine="480"/>
              <w:rPr>
                <w:rFonts w:ascii="仿宋" w:hAnsi="仿宋" w:eastAsia="仿宋"/>
              </w:rPr>
            </w:pPr>
            <w:r>
              <w:rPr>
                <w:rFonts w:hint="eastAsia" w:ascii="仿宋" w:hAnsi="仿宋" w:eastAsia="仿宋"/>
              </w:rPr>
              <w:t>5.不设奖项的活动加分，上限10分</w:t>
            </w:r>
          </w:p>
          <w:p>
            <w:pPr>
              <w:spacing w:line="480" w:lineRule="auto"/>
              <w:ind w:firstLine="480"/>
              <w:rPr>
                <w:rFonts w:ascii="仿宋" w:hAnsi="仿宋" w:eastAsia="仿宋"/>
              </w:rPr>
            </w:pPr>
            <w:r>
              <w:rPr>
                <w:rFonts w:hint="eastAsia" w:ascii="仿宋" w:hAnsi="仿宋" w:eastAsia="仿宋"/>
              </w:rPr>
              <w:t>①参加学院及院级以上单位举办的活动（其中志愿者服务按在奖学金评选年度录入i志愿系统的志愿时计分，加0.2分/小时），加0.5分/次，累计不超过5分。</w:t>
            </w:r>
            <w:r>
              <w:rPr>
                <w:rFonts w:hint="eastAsia" w:ascii="仿宋" w:hAnsi="仿宋" w:eastAsia="仿宋"/>
                <w:strike/>
                <w:color w:val="0070C0"/>
              </w:rPr>
              <w:t>作为学生干部组织活动不计分。</w:t>
            </w:r>
          </w:p>
          <w:p>
            <w:pPr>
              <w:spacing w:line="480" w:lineRule="auto"/>
              <w:ind w:firstLine="480"/>
              <w:rPr>
                <w:rFonts w:ascii="仿宋" w:hAnsi="仿宋" w:eastAsia="仿宋"/>
                <w:strike/>
                <w:color w:val="0070C0"/>
              </w:rPr>
            </w:pPr>
            <w:r>
              <w:rPr>
                <w:rFonts w:hint="eastAsia" w:ascii="仿宋" w:hAnsi="仿宋" w:eastAsia="仿宋"/>
                <w:strike/>
                <w:color w:val="0070C0"/>
              </w:rPr>
              <w:t>参加上述不设奖项活动受到学院及院级以上单位表彰的，可额外加1分。</w:t>
            </w:r>
          </w:p>
          <w:p>
            <w:pPr>
              <w:spacing w:line="480" w:lineRule="auto"/>
              <w:ind w:firstLine="480"/>
              <w:rPr>
                <w:rFonts w:ascii="仿宋" w:hAnsi="仿宋" w:eastAsia="仿宋"/>
              </w:rPr>
            </w:pPr>
            <w:r>
              <w:rPr>
                <w:rFonts w:hint="eastAsia" w:ascii="仿宋" w:hAnsi="仿宋" w:eastAsia="仿宋"/>
              </w:rPr>
              <w:t>②在见义勇为、拾金不昧、帮弱助残、抢险救灾、抢救伤残等方面有突出事迹，受到全国、省（部）、市、学校、学院表彰和通报表扬的，每次分别加5分、4分、3分、2分、1分。同一事迹多次受表彰或表扬的，只取最高级别加分，不累计加分。</w:t>
            </w:r>
          </w:p>
          <w:p>
            <w:pPr>
              <w:spacing w:line="480" w:lineRule="auto"/>
              <w:ind w:firstLine="480"/>
              <w:rPr>
                <w:rFonts w:ascii="仿宋" w:hAnsi="仿宋" w:eastAsia="仿宋"/>
              </w:rPr>
            </w:pPr>
            <w:r>
              <w:rPr>
                <w:rFonts w:hint="eastAsia" w:ascii="仿宋" w:hAnsi="仿宋" w:eastAsia="仿宋"/>
              </w:rPr>
              <w:t>③本学年度参加无偿献血者，加1分/次，累计加分不超过2分。</w:t>
            </w:r>
          </w:p>
          <w:p>
            <w:pPr>
              <w:spacing w:line="480" w:lineRule="auto"/>
              <w:ind w:firstLine="480" w:firstLineChars="200"/>
              <w:rPr>
                <w:rFonts w:ascii="仿宋" w:hAnsi="仿宋" w:eastAsia="仿宋" w:cs="仿宋"/>
              </w:rPr>
            </w:pPr>
            <w:r>
              <w:rPr>
                <w:rFonts w:hint="eastAsia" w:ascii="仿宋" w:hAnsi="仿宋" w:eastAsia="仿宋"/>
              </w:rPr>
              <w:t>以上所有加分项均需提供加盖相关单位公章的具体证明材料或官网、官微的通知公告、报道里提供的参与人员名单。（照片、证明人等非正式材料不计分)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2500" w:type="pct"/>
            <w:vAlign w:val="center"/>
          </w:tcPr>
          <w:p>
            <w:pPr>
              <w:spacing w:line="240" w:lineRule="auto"/>
              <w:ind w:firstLine="422" w:firstLineChars="200"/>
              <w:rPr>
                <w:rFonts w:ascii="仿宋" w:hAnsi="仿宋" w:eastAsia="仿宋" w:cs="仿宋"/>
                <w:color w:val="FF0000"/>
                <w:sz w:val="21"/>
                <w:szCs w:val="21"/>
              </w:rPr>
            </w:pPr>
            <w:r>
              <w:rPr>
                <w:rFonts w:hint="eastAsia" w:ascii="仿宋" w:hAnsi="仿宋" w:eastAsia="仿宋" w:cs="仿宋"/>
                <w:b/>
                <w:bCs/>
                <w:sz w:val="21"/>
                <w:szCs w:val="21"/>
              </w:rPr>
              <w:t>第四十二条  【思想道德品质和社会实践分】</w:t>
            </w:r>
            <w:r>
              <w:rPr>
                <w:rFonts w:hint="eastAsia" w:ascii="仿宋" w:hAnsi="仿宋" w:eastAsia="仿宋" w:cs="仿宋"/>
                <w:color w:val="FF0000"/>
                <w:sz w:val="21"/>
                <w:szCs w:val="21"/>
              </w:rPr>
              <w:t>依据本实施细则第三十八条至第四十二条之规定申请所加分数之和，为思想道德品质和社会实践分。</w:t>
            </w:r>
          </w:p>
          <w:p>
            <w:pPr>
              <w:spacing w:line="240" w:lineRule="auto"/>
              <w:ind w:firstLine="420" w:firstLineChars="200"/>
              <w:rPr>
                <w:rFonts w:ascii="仿宋" w:hAnsi="仿宋" w:eastAsia="仿宋" w:cs="仿宋"/>
              </w:rPr>
            </w:pPr>
            <w:r>
              <w:rPr>
                <w:rFonts w:hint="eastAsia" w:ascii="仿宋" w:hAnsi="仿宋" w:eastAsia="仿宋" w:cs="仿宋"/>
                <w:sz w:val="21"/>
                <w:szCs w:val="21"/>
              </w:rPr>
              <w:t>评选学年度受到院级通报批评一次，思想道德品质和社会实践分扣25分，但思想道德品质和社会实践分不得低于0分。</w:t>
            </w:r>
          </w:p>
        </w:tc>
        <w:tc>
          <w:tcPr>
            <w:tcW w:w="2500" w:type="pct"/>
          </w:tcPr>
          <w:p>
            <w:pPr>
              <w:ind w:firstLine="480"/>
              <w:rPr>
                <w:rFonts w:ascii="仿宋" w:hAnsi="仿宋" w:eastAsia="仿宋"/>
              </w:rPr>
            </w:pPr>
            <w:r>
              <w:rPr>
                <w:rFonts w:hint="eastAsia" w:ascii="仿宋" w:hAnsi="仿宋" w:eastAsia="仿宋"/>
              </w:rPr>
              <w:t>6.扣分项</w:t>
            </w:r>
          </w:p>
          <w:p>
            <w:pPr>
              <w:ind w:firstLine="480" w:firstLineChars="200"/>
              <w:rPr>
                <w:rFonts w:ascii="仿宋" w:hAnsi="仿宋" w:eastAsia="仿宋" w:cs="仿宋"/>
              </w:rPr>
            </w:pPr>
            <w:r>
              <w:rPr>
                <w:rFonts w:hint="eastAsia" w:ascii="仿宋" w:hAnsi="仿宋" w:eastAsia="仿宋"/>
              </w:rPr>
              <w:t>评选学年度受到院级通报批评</w:t>
            </w:r>
            <w:r>
              <w:rPr>
                <w:rFonts w:hint="eastAsia" w:ascii="仿宋" w:hAnsi="仿宋" w:eastAsia="仿宋"/>
                <w:strike/>
                <w:color w:val="0070C0"/>
              </w:rPr>
              <w:t>（以院网公示为准）</w:t>
            </w:r>
            <w:r>
              <w:rPr>
                <w:rFonts w:hint="eastAsia" w:ascii="仿宋" w:hAnsi="仿宋" w:eastAsia="仿宋"/>
              </w:rPr>
              <w:t>，扣25分/次，直至该项分数扣完为止。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b/>
                <w:bCs/>
              </w:rPr>
            </w:pPr>
          </w:p>
        </w:tc>
        <w:tc>
          <w:tcPr>
            <w:tcW w:w="2500" w:type="pct"/>
            <w:vAlign w:val="center"/>
          </w:tcPr>
          <w:p>
            <w:pPr>
              <w:spacing w:line="240" w:lineRule="auto"/>
              <w:ind w:firstLine="482" w:firstLineChars="200"/>
              <w:jc w:val="center"/>
              <w:rPr>
                <w:rFonts w:ascii="仿宋" w:hAnsi="仿宋" w:eastAsia="仿宋" w:cs="仿宋"/>
                <w:b/>
                <w:bCs/>
              </w:rPr>
            </w:pPr>
            <w:r>
              <w:rPr>
                <w:rFonts w:hint="eastAsia" w:ascii="仿宋" w:hAnsi="仿宋" w:eastAsia="仿宋" w:cs="仿宋"/>
                <w:b/>
                <w:bCs/>
              </w:rPr>
              <w:t>（二）学习成绩（满分100，占30%）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第四十三条  【学习成绩分】</w:t>
            </w:r>
            <w:r>
              <w:rPr>
                <w:rFonts w:hint="eastAsia" w:ascii="仿宋" w:hAnsi="仿宋" w:eastAsia="仿宋" w:cs="仿宋"/>
              </w:rPr>
              <w:t>学习成绩分＝（个人参评年度课程平均成绩/本年级本专业研究生最高参评年度课程平均成绩）×100。</w:t>
            </w:r>
          </w:p>
          <w:p>
            <w:pPr>
              <w:spacing w:line="240" w:lineRule="auto"/>
              <w:ind w:firstLine="480" w:firstLineChars="200"/>
              <w:rPr>
                <w:rFonts w:ascii="仿宋" w:hAnsi="仿宋" w:eastAsia="仿宋" w:cs="仿宋"/>
              </w:rPr>
            </w:pPr>
            <w:r>
              <w:rPr>
                <w:rFonts w:hint="eastAsia" w:ascii="仿宋" w:hAnsi="仿宋" w:eastAsia="仿宋" w:cs="仿宋"/>
                <w:color w:val="FF0000"/>
              </w:rPr>
              <w:t>所属专业参评年度无课程的，</w:t>
            </w:r>
            <w:r>
              <w:rPr>
                <w:rFonts w:hint="eastAsia" w:ascii="仿宋" w:hAnsi="仿宋" w:eastAsia="仿宋" w:cs="仿宋"/>
              </w:rPr>
              <w:t>学习成绩分以100分论。</w:t>
            </w:r>
          </w:p>
          <w:p>
            <w:pPr>
              <w:spacing w:line="240" w:lineRule="auto"/>
              <w:ind w:firstLine="480" w:firstLineChars="200"/>
              <w:rPr>
                <w:rFonts w:ascii="仿宋" w:hAnsi="仿宋" w:eastAsia="仿宋" w:cs="仿宋"/>
              </w:rPr>
            </w:pPr>
            <w:r>
              <w:rPr>
                <w:rFonts w:hint="eastAsia" w:ascii="仿宋" w:hAnsi="仿宋" w:eastAsia="仿宋" w:cs="仿宋"/>
              </w:rPr>
              <w:t>申请一等学业奖学金的，</w:t>
            </w:r>
            <w:r>
              <w:rPr>
                <w:rFonts w:hint="eastAsia" w:ascii="仿宋" w:hAnsi="仿宋" w:eastAsia="仿宋" w:cs="仿宋"/>
                <w:color w:val="FF0000"/>
              </w:rPr>
              <w:t>个人参评年度课程</w:t>
            </w:r>
            <w:r>
              <w:rPr>
                <w:rFonts w:hint="eastAsia" w:ascii="仿宋" w:hAnsi="仿宋" w:eastAsia="仿宋" w:cs="仿宋"/>
              </w:rPr>
              <w:t>单科成绩不得低于80分。</w:t>
            </w:r>
          </w:p>
        </w:tc>
        <w:tc>
          <w:tcPr>
            <w:tcW w:w="2500" w:type="pct"/>
          </w:tcPr>
          <w:p>
            <w:pPr>
              <w:spacing w:line="240" w:lineRule="auto"/>
              <w:ind w:firstLine="480" w:firstLineChars="200"/>
              <w:rPr>
                <w:rFonts w:ascii="仿宋" w:hAnsi="仿宋" w:eastAsia="仿宋" w:cs="仿宋"/>
              </w:rPr>
            </w:pPr>
            <w:r>
              <w:rPr>
                <w:rFonts w:hint="eastAsia" w:ascii="仿宋" w:hAnsi="仿宋" w:eastAsia="仿宋" w:cs="仿宋"/>
              </w:rPr>
              <w:t>学习成绩＝（个人全部课程的平均成绩/本年级本专业学生的最高平均成绩）×100。</w:t>
            </w:r>
          </w:p>
          <w:p>
            <w:pPr>
              <w:spacing w:line="240" w:lineRule="auto"/>
              <w:ind w:firstLine="480" w:firstLineChars="200"/>
              <w:rPr>
                <w:rFonts w:ascii="仿宋" w:hAnsi="仿宋" w:eastAsia="仿宋" w:cs="仿宋"/>
              </w:rPr>
            </w:pPr>
            <w:r>
              <w:rPr>
                <w:rFonts w:hint="eastAsia" w:ascii="仿宋" w:hAnsi="仿宋" w:eastAsia="仿宋" w:cs="仿宋"/>
                <w:strike/>
                <w:color w:val="0070C0"/>
              </w:rPr>
              <w:t>无课程的硕士生班级</w:t>
            </w:r>
            <w:r>
              <w:rPr>
                <w:rFonts w:hint="eastAsia" w:ascii="仿宋" w:hAnsi="仿宋" w:eastAsia="仿宋" w:cs="仿宋"/>
              </w:rPr>
              <w:t>，成绩统一计为100分。</w:t>
            </w:r>
          </w:p>
          <w:p>
            <w:pPr>
              <w:spacing w:line="240" w:lineRule="auto"/>
              <w:ind w:firstLine="480" w:firstLineChars="200"/>
              <w:rPr>
                <w:rFonts w:ascii="仿宋" w:hAnsi="仿宋" w:eastAsia="仿宋" w:cs="仿宋"/>
              </w:rPr>
            </w:pPr>
            <w:r>
              <w:rPr>
                <w:rFonts w:hint="eastAsia" w:ascii="仿宋" w:hAnsi="仿宋" w:eastAsia="仿宋" w:cs="仿宋"/>
              </w:rPr>
              <w:t>申请一等奖学金，需满足单科成绩不得低于80分。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0" w:firstLineChars="200"/>
              <w:rPr>
                <w:rFonts w:ascii="仿宋" w:hAnsi="仿宋" w:eastAsia="仿宋"/>
              </w:rPr>
            </w:pPr>
          </w:p>
        </w:tc>
        <w:tc>
          <w:tcPr>
            <w:tcW w:w="2500" w:type="pct"/>
            <w:vAlign w:val="center"/>
          </w:tcPr>
          <w:p>
            <w:pPr>
              <w:spacing w:line="240" w:lineRule="auto"/>
              <w:ind w:firstLine="480"/>
              <w:rPr>
                <w:rFonts w:ascii="仿宋" w:hAnsi="仿宋" w:eastAsia="仿宋"/>
                <w:b/>
                <w:bCs/>
              </w:rPr>
            </w:pPr>
            <w:r>
              <w:rPr>
                <w:rFonts w:hint="eastAsia" w:ascii="仿宋" w:hAnsi="仿宋" w:eastAsia="仿宋"/>
                <w:b/>
                <w:bCs/>
              </w:rPr>
              <w:t>（三）科研和学术（上限100，占50%）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76" w:lineRule="auto"/>
              <w:rPr>
                <w:rFonts w:ascii="仿宋" w:hAnsi="仿宋" w:eastAsia="仿宋"/>
              </w:rPr>
            </w:pPr>
            <w:r>
              <w:rPr>
                <w:rFonts w:hint="eastAsia" w:ascii="仿宋" w:hAnsi="仿宋" w:eastAsia="仿宋"/>
              </w:rPr>
              <w:t>（见第二十四条、第二十六条、第四十四条、第四十五条、第四十六条）</w:t>
            </w:r>
          </w:p>
        </w:tc>
        <w:tc>
          <w:tcPr>
            <w:tcW w:w="2500" w:type="pct"/>
            <w:vAlign w:val="center"/>
          </w:tcPr>
          <w:p>
            <w:pPr>
              <w:spacing w:line="240" w:lineRule="auto"/>
              <w:ind w:firstLine="480"/>
              <w:rPr>
                <w:rFonts w:ascii="仿宋" w:hAnsi="仿宋" w:eastAsia="仿宋"/>
                <w:strike/>
                <w:color w:val="0070C0"/>
              </w:rPr>
            </w:pPr>
            <w:r>
              <w:rPr>
                <w:rFonts w:hint="eastAsia" w:ascii="仿宋" w:hAnsi="仿宋" w:eastAsia="仿宋"/>
                <w:strike/>
                <w:color w:val="0070C0"/>
              </w:rPr>
              <w:t>从发表学术论文与出版著作、主持课题、参加科研学术竞赛与活动等方面进行考核。</w:t>
            </w:r>
          </w:p>
          <w:p>
            <w:pPr>
              <w:spacing w:line="240" w:lineRule="auto"/>
              <w:ind w:firstLine="480" w:firstLineChars="200"/>
              <w:rPr>
                <w:rFonts w:ascii="仿宋" w:hAnsi="仿宋" w:eastAsia="仿宋"/>
              </w:rPr>
            </w:pPr>
            <w:r>
              <w:rPr>
                <w:rFonts w:hint="eastAsia" w:ascii="仿宋" w:hAnsi="仿宋" w:eastAsia="仿宋"/>
              </w:rPr>
              <w:t>所提交的论文和著作必须是正式发表或出版的、与本人专业相关的学术研究成果，</w:t>
            </w:r>
            <w:r>
              <w:rPr>
                <w:rFonts w:hint="eastAsia" w:ascii="仿宋" w:hAnsi="仿宋" w:eastAsia="仿宋"/>
                <w:strike/>
                <w:color w:val="0070C0"/>
              </w:rPr>
              <w:t>除必须提交原件外，</w:t>
            </w:r>
            <w:r>
              <w:rPr>
                <w:rFonts w:hint="eastAsia" w:ascii="仿宋" w:hAnsi="仿宋" w:eastAsia="仿宋"/>
              </w:rPr>
              <w:t>还须附交刊物或著作封面、目录、</w:t>
            </w:r>
            <w:r>
              <w:rPr>
                <w:rFonts w:hint="eastAsia" w:ascii="仿宋" w:hAnsi="仿宋" w:eastAsia="仿宋"/>
                <w:strike/>
                <w:color w:val="0070C0"/>
              </w:rPr>
              <w:t>论文首页</w:t>
            </w:r>
            <w:r>
              <w:rPr>
                <w:rFonts w:hint="eastAsia" w:ascii="仿宋" w:hAnsi="仿宋" w:eastAsia="仿宋"/>
              </w:rPr>
              <w:t>及版权页的复印件。主持课题研究与项目，必须提交立项证明。获得竞赛奖项、学术会议论文评比奖项等荣誉，必须提交获奖证书复印件。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22" w:firstLineChars="200"/>
              <w:rPr>
                <w:rFonts w:ascii="仿宋" w:hAnsi="仿宋" w:eastAsia="仿宋"/>
                <w:sz w:val="21"/>
                <w:szCs w:val="21"/>
              </w:rPr>
            </w:pPr>
            <w:r>
              <w:rPr>
                <w:rFonts w:hint="eastAsia" w:ascii="仿宋" w:hAnsi="仿宋" w:eastAsia="仿宋"/>
                <w:b/>
                <w:bCs/>
                <w:sz w:val="21"/>
                <w:szCs w:val="21"/>
              </w:rPr>
              <w:t>第四十四条  【发表学术论文与出版著作加分】</w:t>
            </w:r>
            <w:r>
              <w:rPr>
                <w:rFonts w:hint="eastAsia" w:ascii="仿宋" w:hAnsi="仿宋" w:eastAsia="仿宋"/>
                <w:sz w:val="21"/>
                <w:szCs w:val="21"/>
              </w:rPr>
              <w:t>本学年发表学术论文与出版著作的，可以按照以下标准申请发表学术论文与出版著作加分：</w:t>
            </w:r>
          </w:p>
          <w:p>
            <w:pPr>
              <w:spacing w:line="240" w:lineRule="auto"/>
              <w:ind w:firstLine="480"/>
              <w:rPr>
                <w:rFonts w:ascii="仿宋" w:hAnsi="仿宋" w:eastAsia="仿宋"/>
                <w:sz w:val="21"/>
                <w:szCs w:val="21"/>
                <w:highlight w:val="yellow"/>
              </w:rPr>
            </w:pPr>
            <w:r>
              <w:rPr>
                <w:rFonts w:hint="eastAsia" w:ascii="仿宋" w:hAnsi="仿宋" w:eastAsia="仿宋"/>
                <w:sz w:val="21"/>
                <w:szCs w:val="21"/>
              </w:rPr>
              <w:t>（一）在学术刊物上发表学术论文的，按照以下标准加分：</w:t>
            </w:r>
          </w:p>
          <w:tbl>
            <w:tblPr>
              <w:tblStyle w:val="4"/>
              <w:tblpPr w:leftFromText="180" w:rightFromText="180" w:vertAnchor="text" w:horzAnchor="page" w:tblpXSpec="center" w:tblpY="87"/>
              <w:tblOverlap w:val="never"/>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1243"/>
              <w:gridCol w:w="1244"/>
              <w:gridCol w:w="1244"/>
              <w:gridCol w:w="12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81" w:hRule="atLeast"/>
                <w:jc w:val="center"/>
              </w:trPr>
              <w:tc>
                <w:tcPr>
                  <w:tcW w:w="1249" w:type="pct"/>
                  <w:vAlign w:val="center"/>
                </w:tcPr>
                <w:p>
                  <w:pPr>
                    <w:snapToGrid w:val="0"/>
                    <w:spacing w:line="240" w:lineRule="auto"/>
                    <w:jc w:val="center"/>
                    <w:rPr>
                      <w:rFonts w:ascii="仿宋" w:hAnsi="仿宋" w:eastAsia="仿宋"/>
                      <w:b/>
                      <w:bCs/>
                      <w:sz w:val="18"/>
                      <w:szCs w:val="18"/>
                    </w:rPr>
                  </w:pPr>
                  <w:r>
                    <w:rPr>
                      <w:rFonts w:hint="eastAsia" w:ascii="仿宋" w:hAnsi="仿宋" w:eastAsia="仿宋"/>
                      <w:b/>
                      <w:bCs/>
                      <w:sz w:val="18"/>
                      <w:szCs w:val="18"/>
                    </w:rPr>
                    <w:t>类别</w:t>
                  </w:r>
                </w:p>
              </w:tc>
              <w:tc>
                <w:tcPr>
                  <w:tcW w:w="1250" w:type="pct"/>
                  <w:vAlign w:val="center"/>
                </w:tcPr>
                <w:p>
                  <w:pPr>
                    <w:snapToGrid w:val="0"/>
                    <w:spacing w:line="240" w:lineRule="auto"/>
                    <w:jc w:val="center"/>
                    <w:rPr>
                      <w:rFonts w:ascii="仿宋" w:hAnsi="仿宋" w:eastAsia="仿宋"/>
                      <w:sz w:val="18"/>
                      <w:szCs w:val="18"/>
                    </w:rPr>
                  </w:pPr>
                  <w:r>
                    <w:rPr>
                      <w:rFonts w:hint="eastAsia" w:ascii="仿宋" w:hAnsi="仿宋" w:eastAsia="仿宋"/>
                      <w:sz w:val="18"/>
                      <w:szCs w:val="18"/>
                    </w:rPr>
                    <w:t>第一作者或通讯作者</w:t>
                  </w:r>
                </w:p>
              </w:tc>
              <w:tc>
                <w:tcPr>
                  <w:tcW w:w="1250" w:type="pct"/>
                  <w:vAlign w:val="center"/>
                </w:tcPr>
                <w:p>
                  <w:pPr>
                    <w:snapToGrid w:val="0"/>
                    <w:spacing w:line="240" w:lineRule="auto"/>
                    <w:jc w:val="center"/>
                    <w:rPr>
                      <w:rFonts w:ascii="仿宋" w:hAnsi="仿宋" w:eastAsia="仿宋"/>
                      <w:sz w:val="18"/>
                      <w:szCs w:val="18"/>
                    </w:rPr>
                  </w:pPr>
                  <w:r>
                    <w:rPr>
                      <w:rFonts w:hint="eastAsia" w:ascii="仿宋" w:hAnsi="仿宋" w:eastAsia="仿宋"/>
                      <w:sz w:val="18"/>
                      <w:szCs w:val="18"/>
                    </w:rPr>
                    <w:t>第二作者</w:t>
                  </w:r>
                </w:p>
              </w:tc>
              <w:tc>
                <w:tcPr>
                  <w:tcW w:w="1250" w:type="pct"/>
                  <w:vAlign w:val="center"/>
                </w:tcPr>
                <w:p>
                  <w:pPr>
                    <w:snapToGrid w:val="0"/>
                    <w:spacing w:line="240" w:lineRule="auto"/>
                    <w:jc w:val="center"/>
                    <w:rPr>
                      <w:rFonts w:ascii="宋体" w:hAnsi="宋体"/>
                      <w:sz w:val="18"/>
                      <w:szCs w:val="18"/>
                    </w:rPr>
                  </w:pPr>
                  <w:r>
                    <w:rPr>
                      <w:rFonts w:hint="eastAsia" w:ascii="仿宋" w:hAnsi="仿宋" w:eastAsia="仿宋" w:cs="仿宋"/>
                      <w:sz w:val="18"/>
                      <w:szCs w:val="18"/>
                    </w:rPr>
                    <w:t>第三作者及排名在第三作者之后的其他作者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0" w:hRule="atLeast"/>
                <w:jc w:val="center"/>
              </w:trPr>
              <w:tc>
                <w:tcPr>
                  <w:tcW w:w="1249" w:type="pct"/>
                  <w:vAlign w:val="center"/>
                </w:tcPr>
                <w:p>
                  <w:pPr>
                    <w:snapToGrid w:val="0"/>
                    <w:spacing w:line="240" w:lineRule="auto"/>
                    <w:jc w:val="center"/>
                    <w:rPr>
                      <w:rFonts w:ascii="仿宋" w:hAnsi="仿宋" w:eastAsia="仿宋"/>
                      <w:sz w:val="18"/>
                      <w:szCs w:val="18"/>
                    </w:rPr>
                  </w:pPr>
                  <w:r>
                    <w:rPr>
                      <w:rFonts w:hint="eastAsia" w:ascii="仿宋" w:hAnsi="仿宋" w:eastAsia="仿宋"/>
                      <w:sz w:val="18"/>
                      <w:szCs w:val="18"/>
                    </w:rPr>
                    <w:t>T1类</w:t>
                  </w:r>
                </w:p>
              </w:tc>
              <w:tc>
                <w:tcPr>
                  <w:tcW w:w="1250" w:type="pct"/>
                  <w:vAlign w:val="center"/>
                </w:tcPr>
                <w:p>
                  <w:pPr>
                    <w:snapToGrid w:val="0"/>
                    <w:spacing w:line="240" w:lineRule="auto"/>
                    <w:jc w:val="center"/>
                    <w:rPr>
                      <w:sz w:val="18"/>
                      <w:szCs w:val="18"/>
                    </w:rPr>
                  </w:pPr>
                  <w:r>
                    <w:rPr>
                      <w:rFonts w:hint="eastAsia"/>
                      <w:sz w:val="18"/>
                      <w:szCs w:val="18"/>
                    </w:rPr>
                    <w:t>50</w:t>
                  </w:r>
                </w:p>
              </w:tc>
              <w:tc>
                <w:tcPr>
                  <w:tcW w:w="1250" w:type="pct"/>
                  <w:vAlign w:val="center"/>
                </w:tcPr>
                <w:p>
                  <w:pPr>
                    <w:snapToGrid w:val="0"/>
                    <w:spacing w:line="240" w:lineRule="auto"/>
                    <w:jc w:val="center"/>
                    <w:rPr>
                      <w:sz w:val="18"/>
                      <w:szCs w:val="18"/>
                    </w:rPr>
                  </w:pPr>
                  <w:r>
                    <w:rPr>
                      <w:rFonts w:hint="eastAsia"/>
                      <w:sz w:val="18"/>
                      <w:szCs w:val="18"/>
                    </w:rPr>
                    <w:t>30</w:t>
                  </w:r>
                </w:p>
              </w:tc>
              <w:tc>
                <w:tcPr>
                  <w:tcW w:w="1250" w:type="pct"/>
                  <w:vAlign w:val="center"/>
                </w:tcPr>
                <w:p>
                  <w:pPr>
                    <w:snapToGrid w:val="0"/>
                    <w:spacing w:line="240" w:lineRule="auto"/>
                    <w:jc w:val="center"/>
                    <w:rPr>
                      <w:sz w:val="18"/>
                      <w:szCs w:val="18"/>
                    </w:rPr>
                  </w:pPr>
                  <w:r>
                    <w:rPr>
                      <w:rFonts w:hint="eastAsia"/>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0" w:hRule="atLeast"/>
                <w:jc w:val="center"/>
              </w:trPr>
              <w:tc>
                <w:tcPr>
                  <w:tcW w:w="1249" w:type="pct"/>
                  <w:vAlign w:val="center"/>
                </w:tcPr>
                <w:p>
                  <w:pPr>
                    <w:snapToGrid w:val="0"/>
                    <w:spacing w:line="240" w:lineRule="auto"/>
                    <w:jc w:val="center"/>
                    <w:rPr>
                      <w:rFonts w:ascii="仿宋" w:hAnsi="仿宋" w:eastAsia="仿宋"/>
                      <w:sz w:val="18"/>
                      <w:szCs w:val="18"/>
                    </w:rPr>
                  </w:pPr>
                  <w:r>
                    <w:rPr>
                      <w:rFonts w:hint="eastAsia" w:ascii="仿宋" w:hAnsi="仿宋" w:eastAsia="仿宋"/>
                      <w:sz w:val="18"/>
                      <w:szCs w:val="18"/>
                    </w:rPr>
                    <w:t>T2类</w:t>
                  </w:r>
                </w:p>
              </w:tc>
              <w:tc>
                <w:tcPr>
                  <w:tcW w:w="1250" w:type="pct"/>
                  <w:vAlign w:val="center"/>
                </w:tcPr>
                <w:p>
                  <w:pPr>
                    <w:snapToGrid w:val="0"/>
                    <w:spacing w:line="240" w:lineRule="auto"/>
                    <w:jc w:val="center"/>
                    <w:rPr>
                      <w:sz w:val="18"/>
                      <w:szCs w:val="18"/>
                    </w:rPr>
                  </w:pPr>
                  <w:r>
                    <w:rPr>
                      <w:rFonts w:hint="eastAsia"/>
                      <w:sz w:val="18"/>
                      <w:szCs w:val="18"/>
                    </w:rPr>
                    <w:t>40</w:t>
                  </w:r>
                </w:p>
              </w:tc>
              <w:tc>
                <w:tcPr>
                  <w:tcW w:w="1250" w:type="pct"/>
                  <w:vAlign w:val="center"/>
                </w:tcPr>
                <w:p>
                  <w:pPr>
                    <w:snapToGrid w:val="0"/>
                    <w:spacing w:line="240" w:lineRule="auto"/>
                    <w:jc w:val="center"/>
                    <w:rPr>
                      <w:sz w:val="18"/>
                      <w:szCs w:val="18"/>
                    </w:rPr>
                  </w:pPr>
                  <w:r>
                    <w:rPr>
                      <w:rFonts w:hint="eastAsia"/>
                      <w:sz w:val="18"/>
                      <w:szCs w:val="18"/>
                    </w:rPr>
                    <w:t>24</w:t>
                  </w:r>
                </w:p>
              </w:tc>
              <w:tc>
                <w:tcPr>
                  <w:tcW w:w="1250" w:type="pct"/>
                  <w:vAlign w:val="center"/>
                </w:tcPr>
                <w:p>
                  <w:pPr>
                    <w:snapToGrid w:val="0"/>
                    <w:spacing w:line="240" w:lineRule="auto"/>
                    <w:jc w:val="center"/>
                    <w:rPr>
                      <w:sz w:val="18"/>
                      <w:szCs w:val="18"/>
                    </w:rPr>
                  </w:pPr>
                  <w:r>
                    <w:rPr>
                      <w:rFonts w:hint="eastAsia"/>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51" w:hRule="atLeast"/>
                <w:jc w:val="center"/>
              </w:trPr>
              <w:tc>
                <w:tcPr>
                  <w:tcW w:w="1249" w:type="pct"/>
                  <w:vAlign w:val="center"/>
                </w:tcPr>
                <w:p>
                  <w:pPr>
                    <w:snapToGrid w:val="0"/>
                    <w:spacing w:line="240" w:lineRule="auto"/>
                    <w:jc w:val="center"/>
                    <w:rPr>
                      <w:rFonts w:ascii="仿宋" w:hAnsi="仿宋" w:eastAsia="仿宋"/>
                      <w:sz w:val="18"/>
                      <w:szCs w:val="18"/>
                    </w:rPr>
                  </w:pPr>
                  <w:r>
                    <w:rPr>
                      <w:rFonts w:hint="eastAsia" w:ascii="仿宋" w:hAnsi="仿宋" w:eastAsia="仿宋"/>
                      <w:sz w:val="18"/>
                      <w:szCs w:val="18"/>
                    </w:rPr>
                    <w:t>A类</w:t>
                  </w:r>
                </w:p>
              </w:tc>
              <w:tc>
                <w:tcPr>
                  <w:tcW w:w="1250" w:type="pct"/>
                  <w:vAlign w:val="center"/>
                </w:tcPr>
                <w:p>
                  <w:pPr>
                    <w:snapToGrid w:val="0"/>
                    <w:spacing w:line="240" w:lineRule="auto"/>
                    <w:jc w:val="center"/>
                    <w:rPr>
                      <w:sz w:val="18"/>
                      <w:szCs w:val="18"/>
                    </w:rPr>
                  </w:pPr>
                  <w:r>
                    <w:rPr>
                      <w:rFonts w:hint="eastAsia"/>
                      <w:sz w:val="18"/>
                      <w:szCs w:val="18"/>
                    </w:rPr>
                    <w:t>30</w:t>
                  </w:r>
                </w:p>
              </w:tc>
              <w:tc>
                <w:tcPr>
                  <w:tcW w:w="1250" w:type="pct"/>
                  <w:vAlign w:val="center"/>
                </w:tcPr>
                <w:p>
                  <w:pPr>
                    <w:snapToGrid w:val="0"/>
                    <w:spacing w:line="240" w:lineRule="auto"/>
                    <w:jc w:val="center"/>
                    <w:rPr>
                      <w:sz w:val="18"/>
                      <w:szCs w:val="18"/>
                    </w:rPr>
                  </w:pPr>
                  <w:r>
                    <w:rPr>
                      <w:rFonts w:hint="eastAsia"/>
                      <w:sz w:val="18"/>
                      <w:szCs w:val="18"/>
                    </w:rPr>
                    <w:t>18</w:t>
                  </w:r>
                </w:p>
              </w:tc>
              <w:tc>
                <w:tcPr>
                  <w:tcW w:w="1250" w:type="pct"/>
                  <w:vAlign w:val="center"/>
                </w:tcPr>
                <w:p>
                  <w:pPr>
                    <w:snapToGrid w:val="0"/>
                    <w:spacing w:line="240" w:lineRule="auto"/>
                    <w:jc w:val="center"/>
                    <w:rPr>
                      <w:sz w:val="18"/>
                      <w:szCs w:val="18"/>
                    </w:rPr>
                  </w:pPr>
                  <w:r>
                    <w:rPr>
                      <w:rFonts w:hint="eastAsia"/>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51" w:hRule="atLeast"/>
                <w:jc w:val="center"/>
              </w:trPr>
              <w:tc>
                <w:tcPr>
                  <w:tcW w:w="1249" w:type="pct"/>
                  <w:vAlign w:val="center"/>
                </w:tcPr>
                <w:p>
                  <w:pPr>
                    <w:snapToGrid w:val="0"/>
                    <w:spacing w:line="240" w:lineRule="auto"/>
                    <w:jc w:val="center"/>
                    <w:rPr>
                      <w:rFonts w:ascii="仿宋" w:hAnsi="仿宋" w:eastAsia="仿宋"/>
                      <w:sz w:val="18"/>
                      <w:szCs w:val="18"/>
                    </w:rPr>
                  </w:pPr>
                  <w:r>
                    <w:rPr>
                      <w:rFonts w:hint="eastAsia" w:ascii="仿宋" w:hAnsi="仿宋" w:eastAsia="仿宋"/>
                      <w:sz w:val="18"/>
                      <w:szCs w:val="18"/>
                    </w:rPr>
                    <w:t>B类</w:t>
                  </w:r>
                </w:p>
              </w:tc>
              <w:tc>
                <w:tcPr>
                  <w:tcW w:w="1250" w:type="pct"/>
                  <w:vAlign w:val="center"/>
                </w:tcPr>
                <w:p>
                  <w:pPr>
                    <w:snapToGrid w:val="0"/>
                    <w:spacing w:line="240" w:lineRule="auto"/>
                    <w:jc w:val="center"/>
                    <w:rPr>
                      <w:sz w:val="18"/>
                      <w:szCs w:val="18"/>
                    </w:rPr>
                  </w:pPr>
                  <w:r>
                    <w:rPr>
                      <w:rFonts w:hint="eastAsia"/>
                      <w:sz w:val="18"/>
                      <w:szCs w:val="18"/>
                    </w:rPr>
                    <w:t>25</w:t>
                  </w:r>
                </w:p>
              </w:tc>
              <w:tc>
                <w:tcPr>
                  <w:tcW w:w="1250" w:type="pct"/>
                  <w:vAlign w:val="center"/>
                </w:tcPr>
                <w:p>
                  <w:pPr>
                    <w:snapToGrid w:val="0"/>
                    <w:spacing w:line="240" w:lineRule="auto"/>
                    <w:jc w:val="center"/>
                    <w:rPr>
                      <w:sz w:val="18"/>
                      <w:szCs w:val="18"/>
                    </w:rPr>
                  </w:pPr>
                  <w:r>
                    <w:rPr>
                      <w:rFonts w:hint="eastAsia"/>
                      <w:sz w:val="18"/>
                      <w:szCs w:val="18"/>
                    </w:rPr>
                    <w:t>15</w:t>
                  </w:r>
                </w:p>
              </w:tc>
              <w:tc>
                <w:tcPr>
                  <w:tcW w:w="1250" w:type="pct"/>
                  <w:vAlign w:val="center"/>
                </w:tcPr>
                <w:p>
                  <w:pPr>
                    <w:snapToGrid w:val="0"/>
                    <w:spacing w:line="240" w:lineRule="auto"/>
                    <w:jc w:val="center"/>
                    <w:rPr>
                      <w:sz w:val="18"/>
                      <w:szCs w:val="18"/>
                    </w:rPr>
                  </w:pPr>
                  <w:r>
                    <w:rPr>
                      <w:rFonts w:hint="eastAsia"/>
                      <w:sz w:val="18"/>
                      <w:szCs w:val="18"/>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51" w:hRule="atLeast"/>
                <w:jc w:val="center"/>
              </w:trPr>
              <w:tc>
                <w:tcPr>
                  <w:tcW w:w="1249" w:type="pct"/>
                  <w:vAlign w:val="center"/>
                </w:tcPr>
                <w:p>
                  <w:pPr>
                    <w:snapToGrid w:val="0"/>
                    <w:spacing w:line="240" w:lineRule="auto"/>
                    <w:jc w:val="center"/>
                    <w:rPr>
                      <w:rFonts w:ascii="仿宋" w:hAnsi="仿宋" w:eastAsia="仿宋"/>
                      <w:sz w:val="18"/>
                      <w:szCs w:val="18"/>
                    </w:rPr>
                  </w:pPr>
                  <w:r>
                    <w:rPr>
                      <w:rFonts w:hint="eastAsia" w:ascii="仿宋" w:hAnsi="仿宋" w:eastAsia="仿宋"/>
                      <w:sz w:val="18"/>
                      <w:szCs w:val="18"/>
                    </w:rPr>
                    <w:t>C类</w:t>
                  </w:r>
                </w:p>
              </w:tc>
              <w:tc>
                <w:tcPr>
                  <w:tcW w:w="1250" w:type="pct"/>
                  <w:vAlign w:val="center"/>
                </w:tcPr>
                <w:p>
                  <w:pPr>
                    <w:snapToGrid w:val="0"/>
                    <w:spacing w:line="240" w:lineRule="auto"/>
                    <w:jc w:val="center"/>
                    <w:rPr>
                      <w:sz w:val="18"/>
                      <w:szCs w:val="18"/>
                    </w:rPr>
                  </w:pPr>
                  <w:r>
                    <w:rPr>
                      <w:rFonts w:hint="eastAsia"/>
                      <w:sz w:val="18"/>
                      <w:szCs w:val="18"/>
                    </w:rPr>
                    <w:t>20</w:t>
                  </w:r>
                </w:p>
              </w:tc>
              <w:tc>
                <w:tcPr>
                  <w:tcW w:w="1250" w:type="pct"/>
                  <w:vAlign w:val="center"/>
                </w:tcPr>
                <w:p>
                  <w:pPr>
                    <w:snapToGrid w:val="0"/>
                    <w:spacing w:line="240" w:lineRule="auto"/>
                    <w:jc w:val="center"/>
                    <w:rPr>
                      <w:sz w:val="18"/>
                      <w:szCs w:val="18"/>
                    </w:rPr>
                  </w:pPr>
                  <w:r>
                    <w:rPr>
                      <w:rFonts w:hint="eastAsia"/>
                      <w:sz w:val="18"/>
                      <w:szCs w:val="18"/>
                    </w:rPr>
                    <w:t>12</w:t>
                  </w:r>
                </w:p>
              </w:tc>
              <w:tc>
                <w:tcPr>
                  <w:tcW w:w="1250" w:type="pct"/>
                  <w:vAlign w:val="center"/>
                </w:tcPr>
                <w:p>
                  <w:pPr>
                    <w:snapToGrid w:val="0"/>
                    <w:spacing w:line="240" w:lineRule="auto"/>
                    <w:jc w:val="center"/>
                    <w:rPr>
                      <w:sz w:val="18"/>
                      <w:szCs w:val="18"/>
                    </w:rPr>
                  </w:pPr>
                  <w:r>
                    <w:rPr>
                      <w:rFonts w:hint="eastAsia"/>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380" w:hRule="atLeast"/>
                <w:jc w:val="center"/>
              </w:trPr>
              <w:tc>
                <w:tcPr>
                  <w:tcW w:w="1249" w:type="pct"/>
                  <w:vAlign w:val="center"/>
                </w:tcPr>
                <w:p>
                  <w:pPr>
                    <w:snapToGrid w:val="0"/>
                    <w:spacing w:line="240" w:lineRule="auto"/>
                    <w:jc w:val="center"/>
                    <w:rPr>
                      <w:rFonts w:ascii="仿宋" w:hAnsi="仿宋" w:eastAsia="仿宋"/>
                      <w:sz w:val="18"/>
                      <w:szCs w:val="18"/>
                    </w:rPr>
                  </w:pPr>
                  <w:r>
                    <w:rPr>
                      <w:rFonts w:hint="eastAsia" w:ascii="仿宋" w:hAnsi="仿宋" w:eastAsia="仿宋"/>
                      <w:sz w:val="18"/>
                      <w:szCs w:val="18"/>
                    </w:rPr>
                    <w:t>一般学术刊物（有ISSN刊号）或论文集（有ISBN号）</w:t>
                  </w:r>
                </w:p>
              </w:tc>
              <w:tc>
                <w:tcPr>
                  <w:tcW w:w="1250" w:type="pct"/>
                  <w:vAlign w:val="center"/>
                </w:tcPr>
                <w:p>
                  <w:pPr>
                    <w:snapToGrid w:val="0"/>
                    <w:spacing w:line="240" w:lineRule="auto"/>
                    <w:jc w:val="center"/>
                    <w:rPr>
                      <w:sz w:val="18"/>
                      <w:szCs w:val="18"/>
                    </w:rPr>
                  </w:pPr>
                  <w:r>
                    <w:rPr>
                      <w:rFonts w:hint="eastAsia"/>
                      <w:sz w:val="18"/>
                      <w:szCs w:val="18"/>
                    </w:rPr>
                    <w:t>10</w:t>
                  </w:r>
                </w:p>
              </w:tc>
              <w:tc>
                <w:tcPr>
                  <w:tcW w:w="1250" w:type="pct"/>
                  <w:vAlign w:val="center"/>
                </w:tcPr>
                <w:p>
                  <w:pPr>
                    <w:snapToGrid w:val="0"/>
                    <w:spacing w:line="240" w:lineRule="auto"/>
                    <w:jc w:val="center"/>
                    <w:rPr>
                      <w:sz w:val="18"/>
                      <w:szCs w:val="18"/>
                    </w:rPr>
                  </w:pPr>
                  <w:r>
                    <w:rPr>
                      <w:rFonts w:hint="eastAsia"/>
                      <w:sz w:val="18"/>
                      <w:szCs w:val="18"/>
                    </w:rPr>
                    <w:t>6</w:t>
                  </w:r>
                </w:p>
              </w:tc>
              <w:tc>
                <w:tcPr>
                  <w:tcW w:w="1250" w:type="pct"/>
                  <w:vAlign w:val="center"/>
                </w:tcPr>
                <w:p>
                  <w:pPr>
                    <w:snapToGrid w:val="0"/>
                    <w:spacing w:line="240" w:lineRule="auto"/>
                    <w:jc w:val="center"/>
                    <w:rPr>
                      <w:sz w:val="18"/>
                      <w:szCs w:val="18"/>
                    </w:rPr>
                  </w:pPr>
                  <w:r>
                    <w:rPr>
                      <w:rFonts w:hint="eastAsia"/>
                      <w:sz w:val="18"/>
                      <w:szCs w:val="18"/>
                    </w:rPr>
                    <w:t>1</w:t>
                  </w:r>
                </w:p>
              </w:tc>
            </w:tr>
          </w:tbl>
          <w:p>
            <w:pPr>
              <w:spacing w:line="240" w:lineRule="auto"/>
              <w:rPr>
                <w:rFonts w:ascii="仿宋" w:hAnsi="仿宋" w:eastAsia="仿宋"/>
                <w:sz w:val="21"/>
                <w:szCs w:val="21"/>
              </w:rPr>
            </w:pPr>
            <w:r>
              <w:rPr>
                <w:rFonts w:hint="eastAsia" w:ascii="仿宋" w:hAnsi="仿宋" w:eastAsia="仿宋"/>
                <w:color w:val="FF0000"/>
                <w:sz w:val="21"/>
                <w:szCs w:val="21"/>
              </w:rPr>
              <w:t>与导师共同发表论文，</w:t>
            </w:r>
            <w:r>
              <w:rPr>
                <w:rFonts w:hint="eastAsia" w:ascii="仿宋" w:hAnsi="仿宋" w:eastAsia="仿宋"/>
                <w:color w:val="FF0000"/>
                <w:sz w:val="21"/>
                <w:szCs w:val="21"/>
                <w:lang w:eastAsia="zh-CN"/>
              </w:rPr>
              <w:t>且</w:t>
            </w:r>
            <w:r>
              <w:rPr>
                <w:rFonts w:hint="eastAsia" w:ascii="仿宋" w:hAnsi="仿宋" w:eastAsia="仿宋"/>
                <w:color w:val="FF0000"/>
                <w:sz w:val="21"/>
                <w:szCs w:val="21"/>
              </w:rPr>
              <w:t>导师为第一作者的，学生向前顺延一位。</w:t>
            </w:r>
            <w:r>
              <w:rPr>
                <w:rFonts w:hint="eastAsia" w:ascii="仿宋" w:hAnsi="仿宋" w:eastAsia="仿宋"/>
                <w:sz w:val="21"/>
                <w:szCs w:val="21"/>
              </w:rPr>
              <w:t>申请依照本项规定加分的，须提交与所申报加分项目有关的</w:t>
            </w:r>
            <w:r>
              <w:rPr>
                <w:rFonts w:hint="eastAsia" w:ascii="仿宋" w:hAnsi="仿宋" w:eastAsia="仿宋"/>
                <w:color w:val="FF0000"/>
                <w:sz w:val="21"/>
                <w:szCs w:val="21"/>
              </w:rPr>
              <w:t>论文作者页</w:t>
            </w:r>
            <w:r>
              <w:rPr>
                <w:rFonts w:hint="eastAsia" w:ascii="仿宋" w:hAnsi="仿宋" w:eastAsia="仿宋"/>
                <w:sz w:val="21"/>
                <w:szCs w:val="21"/>
              </w:rPr>
              <w:t>、论文所载刊物的封面及目录的复印件。</w:t>
            </w:r>
          </w:p>
          <w:p>
            <w:pPr>
              <w:spacing w:line="240" w:lineRule="auto"/>
              <w:ind w:firstLine="480"/>
              <w:rPr>
                <w:rFonts w:ascii="仿宋" w:hAnsi="仿宋" w:eastAsia="仿宋"/>
                <w:sz w:val="21"/>
                <w:szCs w:val="21"/>
              </w:rPr>
            </w:pPr>
            <w:r>
              <w:rPr>
                <w:rFonts w:hint="eastAsia" w:ascii="仿宋" w:hAnsi="仿宋" w:eastAsia="仿宋"/>
                <w:sz w:val="21"/>
                <w:szCs w:val="21"/>
              </w:rPr>
              <w:t>（二）出版一部著作，有ISBN号且字数达到10万字以上的，按照以下标准加分：</w:t>
            </w:r>
          </w:p>
          <w:tbl>
            <w:tblPr>
              <w:tblStyle w:val="4"/>
              <w:tblpPr w:leftFromText="180" w:rightFromText="180" w:vertAnchor="text" w:horzAnchor="page" w:tblpXSpec="center" w:tblpY="87"/>
              <w:tblOverlap w:val="never"/>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1246"/>
              <w:gridCol w:w="1242"/>
              <w:gridCol w:w="1242"/>
              <w:gridCol w:w="12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144" w:hRule="atLeast"/>
                <w:jc w:val="center"/>
              </w:trPr>
              <w:tc>
                <w:tcPr>
                  <w:tcW w:w="1252" w:type="pct"/>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类别</w:t>
                  </w:r>
                </w:p>
              </w:tc>
              <w:tc>
                <w:tcPr>
                  <w:tcW w:w="1248" w:type="pct"/>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 xml:space="preserve">主 </w:t>
                  </w:r>
                  <w:r>
                    <w:rPr>
                      <w:rFonts w:ascii="仿宋" w:hAnsi="仿宋" w:eastAsia="仿宋"/>
                      <w:sz w:val="21"/>
                      <w:szCs w:val="21"/>
                    </w:rPr>
                    <w:t xml:space="preserve"> </w:t>
                  </w:r>
                  <w:r>
                    <w:rPr>
                      <w:rFonts w:hint="eastAsia" w:ascii="仿宋" w:hAnsi="仿宋" w:eastAsia="仿宋"/>
                      <w:sz w:val="21"/>
                      <w:szCs w:val="21"/>
                    </w:rPr>
                    <w:t>编</w:t>
                  </w:r>
                </w:p>
              </w:tc>
              <w:tc>
                <w:tcPr>
                  <w:tcW w:w="1248" w:type="pct"/>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副主编</w:t>
                  </w:r>
                </w:p>
              </w:tc>
              <w:tc>
                <w:tcPr>
                  <w:tcW w:w="1251" w:type="pct"/>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参编者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312" w:hRule="atLeast"/>
                <w:jc w:val="center"/>
              </w:trPr>
              <w:tc>
                <w:tcPr>
                  <w:tcW w:w="1252" w:type="pct"/>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分数</w:t>
                  </w:r>
                </w:p>
              </w:tc>
              <w:tc>
                <w:tcPr>
                  <w:tcW w:w="1248" w:type="pct"/>
                  <w:vAlign w:val="center"/>
                </w:tcPr>
                <w:p>
                  <w:pPr>
                    <w:snapToGrid w:val="0"/>
                    <w:spacing w:line="240" w:lineRule="auto"/>
                    <w:jc w:val="center"/>
                    <w:rPr>
                      <w:sz w:val="21"/>
                      <w:szCs w:val="21"/>
                    </w:rPr>
                  </w:pPr>
                  <w:r>
                    <w:rPr>
                      <w:sz w:val="21"/>
                      <w:szCs w:val="21"/>
                    </w:rPr>
                    <w:t>20</w:t>
                  </w:r>
                </w:p>
              </w:tc>
              <w:tc>
                <w:tcPr>
                  <w:tcW w:w="1248" w:type="pct"/>
                  <w:vAlign w:val="center"/>
                </w:tcPr>
                <w:p>
                  <w:pPr>
                    <w:snapToGrid w:val="0"/>
                    <w:spacing w:line="240" w:lineRule="auto"/>
                    <w:jc w:val="center"/>
                    <w:rPr>
                      <w:sz w:val="21"/>
                      <w:szCs w:val="21"/>
                    </w:rPr>
                  </w:pPr>
                  <w:r>
                    <w:rPr>
                      <w:sz w:val="21"/>
                      <w:szCs w:val="21"/>
                    </w:rPr>
                    <w:t>10</w:t>
                  </w:r>
                </w:p>
              </w:tc>
              <w:tc>
                <w:tcPr>
                  <w:tcW w:w="1251" w:type="pct"/>
                  <w:vAlign w:val="center"/>
                </w:tcPr>
                <w:p>
                  <w:pPr>
                    <w:snapToGrid w:val="0"/>
                    <w:spacing w:line="240" w:lineRule="auto"/>
                    <w:jc w:val="center"/>
                    <w:rPr>
                      <w:sz w:val="21"/>
                      <w:szCs w:val="21"/>
                    </w:rPr>
                  </w:pPr>
                  <w:r>
                    <w:rPr>
                      <w:sz w:val="21"/>
                      <w:szCs w:val="21"/>
                    </w:rPr>
                    <w:t>2</w:t>
                  </w:r>
                </w:p>
              </w:tc>
            </w:tr>
          </w:tbl>
          <w:p>
            <w:pPr>
              <w:spacing w:line="240" w:lineRule="auto"/>
              <w:rPr>
                <w:rFonts w:hint="eastAsia" w:ascii="仿宋" w:hAnsi="仿宋" w:eastAsia="仿宋"/>
                <w:sz w:val="21"/>
                <w:szCs w:val="21"/>
              </w:rPr>
            </w:pPr>
            <w:r>
              <w:rPr>
                <w:rFonts w:hint="eastAsia" w:ascii="仿宋" w:hAnsi="仿宋" w:eastAsia="仿宋"/>
                <w:sz w:val="21"/>
                <w:szCs w:val="21"/>
              </w:rPr>
              <w:t>申请依照本项规定加分的，须提交著作封面及版权页的复印件。</w:t>
            </w:r>
          </w:p>
        </w:tc>
        <w:tc>
          <w:tcPr>
            <w:tcW w:w="2500" w:type="pct"/>
          </w:tcPr>
          <w:p>
            <w:pPr>
              <w:spacing w:line="400" w:lineRule="exact"/>
              <w:ind w:firstLine="480" w:firstLineChars="200"/>
              <w:rPr>
                <w:rFonts w:ascii="仿宋" w:hAnsi="仿宋" w:eastAsia="仿宋"/>
              </w:rPr>
            </w:pPr>
            <w:r>
              <w:rPr>
                <w:rFonts w:hint="eastAsia" w:ascii="仿宋" w:hAnsi="仿宋" w:eastAsia="仿宋"/>
              </w:rPr>
              <w:t>1.发表学术论文与出版著作计分方法：</w:t>
            </w:r>
          </w:p>
          <w:p>
            <w:pPr>
              <w:spacing w:line="400" w:lineRule="exact"/>
              <w:ind w:firstLine="200"/>
              <w:rPr>
                <w:rFonts w:ascii="仿宋" w:hAnsi="仿宋" w:eastAsia="仿宋"/>
              </w:rPr>
            </w:pPr>
            <w:r>
              <w:rPr>
                <w:rFonts w:hint="eastAsia" w:ascii="仿宋" w:hAnsi="仿宋" w:eastAsia="仿宋"/>
              </w:rPr>
              <w:t>①发表T1类学术论文一篇，计50分；</w:t>
            </w:r>
          </w:p>
          <w:p>
            <w:pPr>
              <w:spacing w:line="400" w:lineRule="exact"/>
              <w:ind w:firstLine="200"/>
              <w:rPr>
                <w:rFonts w:ascii="仿宋" w:hAnsi="仿宋" w:eastAsia="仿宋"/>
              </w:rPr>
            </w:pPr>
            <w:r>
              <w:rPr>
                <w:rFonts w:hint="eastAsia" w:ascii="仿宋" w:hAnsi="仿宋" w:eastAsia="仿宋"/>
              </w:rPr>
              <w:t>②发表T2类学术论文一篇，计40分；</w:t>
            </w:r>
          </w:p>
          <w:p>
            <w:pPr>
              <w:spacing w:line="400" w:lineRule="exact"/>
              <w:ind w:firstLine="200"/>
              <w:rPr>
                <w:rFonts w:ascii="仿宋" w:hAnsi="仿宋" w:eastAsia="仿宋"/>
              </w:rPr>
            </w:pPr>
            <w:r>
              <w:rPr>
                <w:rFonts w:hint="eastAsia" w:ascii="仿宋" w:hAnsi="仿宋" w:eastAsia="仿宋"/>
              </w:rPr>
              <w:t>③发表A类学术论文一篇，计30分；</w:t>
            </w:r>
          </w:p>
          <w:p>
            <w:pPr>
              <w:spacing w:line="400" w:lineRule="exact"/>
              <w:ind w:firstLine="200"/>
              <w:rPr>
                <w:rFonts w:ascii="仿宋" w:hAnsi="仿宋" w:eastAsia="仿宋"/>
              </w:rPr>
            </w:pPr>
            <w:r>
              <w:rPr>
                <w:rFonts w:hint="eastAsia" w:ascii="仿宋" w:hAnsi="仿宋" w:eastAsia="仿宋"/>
              </w:rPr>
              <w:t>④发表B类学术论文一篇，计25分；</w:t>
            </w:r>
          </w:p>
          <w:p>
            <w:pPr>
              <w:spacing w:line="400" w:lineRule="exact"/>
              <w:ind w:firstLine="200"/>
              <w:rPr>
                <w:rFonts w:ascii="仿宋" w:hAnsi="仿宋" w:eastAsia="仿宋"/>
              </w:rPr>
            </w:pPr>
            <w:r>
              <w:rPr>
                <w:rFonts w:hint="eastAsia" w:ascii="仿宋" w:hAnsi="仿宋" w:eastAsia="仿宋"/>
              </w:rPr>
              <w:t>⑤发表C类学术论文一篇，计20分；</w:t>
            </w:r>
          </w:p>
          <w:p>
            <w:pPr>
              <w:spacing w:line="400" w:lineRule="exact"/>
              <w:ind w:firstLine="200"/>
              <w:rPr>
                <w:rFonts w:ascii="仿宋" w:hAnsi="仿宋" w:eastAsia="仿宋"/>
              </w:rPr>
            </w:pPr>
            <w:r>
              <w:rPr>
                <w:rFonts w:hint="eastAsia" w:ascii="仿宋" w:hAnsi="仿宋" w:eastAsia="仿宋"/>
              </w:rPr>
              <w:t>⑥在国内一般学术刊物（有ISSN刊号）、论文集（有ISBN号）发表学术论文一篇，计10分；</w:t>
            </w:r>
          </w:p>
          <w:p>
            <w:pPr>
              <w:spacing w:line="400" w:lineRule="exact"/>
              <w:ind w:firstLine="200"/>
              <w:rPr>
                <w:rFonts w:ascii="仿宋" w:hAnsi="仿宋" w:eastAsia="仿宋"/>
              </w:rPr>
            </w:pPr>
            <w:r>
              <w:rPr>
                <w:rFonts w:hint="eastAsia" w:ascii="仿宋" w:hAnsi="仿宋" w:eastAsia="仿宋"/>
              </w:rPr>
              <w:t>⑦参加学术会议，宣读会议论文计5分；</w:t>
            </w:r>
            <w:r>
              <w:rPr>
                <w:rFonts w:hint="eastAsia" w:ascii="仿宋" w:hAnsi="仿宋" w:eastAsia="仿宋" w:cs="仿宋"/>
                <w:strike/>
                <w:color w:val="0070C0"/>
              </w:rPr>
              <w:t>论文全文被收入会议论文集且公开出版发行（有ISBN号）的，计10分；同时符合以上两个条件的，只计10分。论文在学术会议评比中获奖，按照获奖等级计分，最高计7分；依次递减，分别为6分、5分；获奖但不分等级者，计5分。</w:t>
            </w:r>
          </w:p>
          <w:p>
            <w:pPr>
              <w:spacing w:line="400" w:lineRule="exact"/>
              <w:ind w:firstLine="200"/>
              <w:rPr>
                <w:rFonts w:ascii="仿宋" w:hAnsi="仿宋" w:eastAsia="仿宋"/>
              </w:rPr>
            </w:pPr>
            <w:r>
              <w:rPr>
                <w:rFonts w:hint="eastAsia" w:ascii="仿宋" w:hAnsi="仿宋" w:eastAsia="仿宋"/>
              </w:rPr>
              <w:t>⑧在国外学术期刊上发表学术论文，经学院评审委员会讨论核定刊物类别后，按国内论文的相应标准计分；</w:t>
            </w:r>
          </w:p>
          <w:p>
            <w:pPr>
              <w:spacing w:line="400" w:lineRule="exact"/>
              <w:ind w:firstLine="200"/>
              <w:rPr>
                <w:rFonts w:ascii="仿宋" w:hAnsi="仿宋" w:eastAsia="仿宋"/>
              </w:rPr>
            </w:pPr>
            <w:r>
              <w:rPr>
                <w:rFonts w:hint="eastAsia" w:ascii="仿宋" w:hAnsi="仿宋" w:eastAsia="仿宋"/>
              </w:rPr>
              <w:t>⑨发表的译文按同等学术刊物计分标准的50%计算；</w:t>
            </w:r>
          </w:p>
          <w:p>
            <w:pPr>
              <w:spacing w:line="400" w:lineRule="exact"/>
              <w:ind w:firstLine="200"/>
              <w:rPr>
                <w:rFonts w:ascii="仿宋" w:hAnsi="仿宋" w:eastAsia="仿宋"/>
              </w:rPr>
            </w:pPr>
            <w:r>
              <w:rPr>
                <w:rFonts w:hint="eastAsia" w:ascii="仿宋" w:hAnsi="仿宋" w:eastAsia="仿宋"/>
              </w:rPr>
              <w:t>⑩出版本学科的学术专著（编、译）书籍(10万字以上)，20分/部。出版的书籍均须有正式书刊号，参评者为主编的，按100%标准加分；参评者为副主编的，按50%标准加分；参评者为其他编委的，按10%标准加分。</w:t>
            </w:r>
          </w:p>
          <w:p>
            <w:pPr>
              <w:spacing w:line="400" w:lineRule="exact"/>
              <w:ind w:firstLine="200"/>
              <w:rPr>
                <w:rFonts w:ascii="仿宋" w:hAnsi="仿宋" w:eastAsia="仿宋"/>
                <w:b/>
                <w:bCs/>
              </w:rPr>
            </w:pP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eq \o\ac(</w:instrText>
            </w:r>
            <w:r>
              <w:rPr>
                <w:rFonts w:hint="eastAsia" w:ascii="仿宋" w:hAnsi="仿宋" w:eastAsia="仿宋"/>
                <w:position w:val="-4"/>
                <w:sz w:val="36"/>
              </w:rPr>
              <w:instrText xml:space="preserve">○</w:instrText>
            </w:r>
            <w:r>
              <w:rPr>
                <w:rFonts w:hint="eastAsia" w:ascii="仿宋" w:hAnsi="仿宋" w:eastAsia="仿宋"/>
              </w:rPr>
              <w:instrText xml:space="preserve">,11)</w:instrText>
            </w:r>
            <w:r>
              <w:rPr>
                <w:rFonts w:ascii="仿宋" w:hAnsi="仿宋" w:eastAsia="仿宋"/>
              </w:rPr>
              <w:fldChar w:fldCharType="end"/>
            </w:r>
            <w:r>
              <w:rPr>
                <w:rFonts w:hint="eastAsia" w:ascii="仿宋" w:hAnsi="仿宋" w:eastAsia="仿宋"/>
              </w:rPr>
              <w:t>参评者在发表的论文里属于第一作者、通讯作者或并列第一作者、并列通讯作者，按相应分值的100%加分；第二作者按60%加分；第三作者及之后按10%加分。其余情况不加分。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tcPr>
          <w:p>
            <w:pPr>
              <w:spacing w:line="240" w:lineRule="auto"/>
              <w:ind w:firstLine="482" w:firstLineChars="200"/>
              <w:rPr>
                <w:rFonts w:ascii="仿宋" w:hAnsi="仿宋" w:eastAsia="仿宋" w:cs="仿宋"/>
              </w:rPr>
            </w:pPr>
            <w:r>
              <w:rPr>
                <w:rFonts w:hint="eastAsia" w:ascii="仿宋" w:hAnsi="仿宋" w:eastAsia="仿宋" w:cs="仿宋"/>
                <w:b/>
                <w:bCs/>
              </w:rPr>
              <w:t>第四十五条  【主持或参与科研课题研究和科技创新创业项目加分】</w:t>
            </w:r>
            <w:r>
              <w:rPr>
                <w:rFonts w:hint="eastAsia" w:ascii="仿宋" w:hAnsi="仿宋" w:eastAsia="仿宋" w:cs="仿宋"/>
              </w:rPr>
              <w:t>主持或参与科研课题研究和科技创新创业项目的，可以按照以下标准申请主持或参与科研课题研究和科技创新创业项目加分：</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9"/>
              <w:gridCol w:w="1020"/>
              <w:gridCol w:w="647"/>
              <w:gridCol w:w="648"/>
              <w:gridCol w:w="601"/>
              <w:gridCol w:w="601"/>
              <w:gridCol w:w="5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2" w:hRule="atLeast"/>
                <w:jc w:val="center"/>
              </w:trPr>
              <w:tc>
                <w:tcPr>
                  <w:tcW w:w="864"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b/>
                      <w:bCs/>
                      <w:kern w:val="0"/>
                      <w:sz w:val="16"/>
                      <w:szCs w:val="16"/>
                    </w:rPr>
                    <w:t>项目层次</w:t>
                  </w:r>
                </w:p>
              </w:tc>
              <w:tc>
                <w:tcPr>
                  <w:tcW w:w="1019" w:type="pct"/>
                  <w:shd w:val="clear" w:color="auto" w:fill="auto"/>
                  <w:noWrap/>
                  <w:vAlign w:val="center"/>
                </w:tcPr>
                <w:p>
                  <w:pPr>
                    <w:widowControl/>
                    <w:spacing w:line="240" w:lineRule="auto"/>
                    <w:jc w:val="center"/>
                    <w:rPr>
                      <w:rFonts w:ascii="宋体" w:hAnsi="宋体" w:cs="宋体"/>
                      <w:b/>
                      <w:bCs/>
                      <w:kern w:val="0"/>
                      <w:sz w:val="16"/>
                      <w:szCs w:val="16"/>
                    </w:rPr>
                  </w:pPr>
                  <w:r>
                    <w:rPr>
                      <w:rFonts w:hint="eastAsia" w:ascii="宋体" w:hAnsi="宋体" w:cs="宋体"/>
                      <w:b/>
                      <w:bCs/>
                      <w:kern w:val="0"/>
                      <w:sz w:val="16"/>
                      <w:szCs w:val="16"/>
                    </w:rPr>
                    <w:t>排名第1</w:t>
                  </w:r>
                </w:p>
                <w:p>
                  <w:pPr>
                    <w:widowControl/>
                    <w:spacing w:line="240" w:lineRule="auto"/>
                    <w:jc w:val="center"/>
                    <w:rPr>
                      <w:rFonts w:ascii="宋体" w:hAnsi="宋体" w:cs="宋体"/>
                      <w:b/>
                      <w:bCs/>
                      <w:kern w:val="0"/>
                      <w:sz w:val="16"/>
                      <w:szCs w:val="16"/>
                    </w:rPr>
                  </w:pPr>
                  <w:r>
                    <w:rPr>
                      <w:rFonts w:hint="eastAsia" w:ascii="宋体" w:hAnsi="宋体" w:cs="宋体"/>
                      <w:b/>
                      <w:bCs/>
                      <w:kern w:val="0"/>
                      <w:sz w:val="16"/>
                      <w:szCs w:val="16"/>
                    </w:rPr>
                    <w:t>（主持者）</w:t>
                  </w:r>
                </w:p>
              </w:tc>
              <w:tc>
                <w:tcPr>
                  <w:tcW w:w="652" w:type="pct"/>
                  <w:vAlign w:val="center"/>
                </w:tcPr>
                <w:p>
                  <w:pPr>
                    <w:widowControl/>
                    <w:spacing w:line="240" w:lineRule="auto"/>
                    <w:jc w:val="center"/>
                    <w:rPr>
                      <w:rFonts w:ascii="宋体" w:hAnsi="宋体" w:cs="宋体"/>
                      <w:b/>
                      <w:bCs/>
                      <w:color w:val="FF0000"/>
                      <w:kern w:val="0"/>
                      <w:sz w:val="16"/>
                      <w:szCs w:val="16"/>
                    </w:rPr>
                  </w:pPr>
                  <w:r>
                    <w:rPr>
                      <w:rFonts w:hint="eastAsia" w:ascii="宋体" w:hAnsi="宋体" w:cs="宋体"/>
                      <w:b/>
                      <w:bCs/>
                      <w:color w:val="FF0000"/>
                      <w:kern w:val="0"/>
                      <w:sz w:val="16"/>
                      <w:szCs w:val="16"/>
                    </w:rPr>
                    <w:t>排名第2</w:t>
                  </w:r>
                </w:p>
              </w:tc>
              <w:tc>
                <w:tcPr>
                  <w:tcW w:w="652" w:type="pct"/>
                  <w:vAlign w:val="center"/>
                </w:tcPr>
                <w:p>
                  <w:pPr>
                    <w:widowControl/>
                    <w:spacing w:line="240" w:lineRule="auto"/>
                    <w:jc w:val="center"/>
                    <w:rPr>
                      <w:rFonts w:ascii="宋体" w:hAnsi="宋体" w:cs="宋体"/>
                      <w:b/>
                      <w:bCs/>
                      <w:color w:val="FF0000"/>
                      <w:kern w:val="0"/>
                      <w:sz w:val="16"/>
                      <w:szCs w:val="16"/>
                    </w:rPr>
                  </w:pPr>
                  <w:r>
                    <w:rPr>
                      <w:rFonts w:hint="eastAsia" w:ascii="宋体" w:hAnsi="宋体" w:cs="宋体"/>
                      <w:b/>
                      <w:bCs/>
                      <w:color w:val="FF0000"/>
                      <w:kern w:val="0"/>
                      <w:sz w:val="16"/>
                      <w:szCs w:val="16"/>
                    </w:rPr>
                    <w:t>排名第3</w:t>
                  </w:r>
                </w:p>
              </w:tc>
              <w:tc>
                <w:tcPr>
                  <w:tcW w:w="605" w:type="pct"/>
                  <w:vAlign w:val="center"/>
                </w:tcPr>
                <w:p>
                  <w:pPr>
                    <w:widowControl/>
                    <w:spacing w:line="240" w:lineRule="auto"/>
                    <w:jc w:val="center"/>
                    <w:rPr>
                      <w:rFonts w:ascii="宋体" w:hAnsi="宋体" w:cs="宋体"/>
                      <w:b/>
                      <w:bCs/>
                      <w:color w:val="FF0000"/>
                      <w:kern w:val="0"/>
                      <w:sz w:val="16"/>
                      <w:szCs w:val="16"/>
                    </w:rPr>
                  </w:pPr>
                  <w:r>
                    <w:rPr>
                      <w:rFonts w:hint="eastAsia" w:ascii="宋体" w:hAnsi="宋体" w:cs="宋体"/>
                      <w:b/>
                      <w:bCs/>
                      <w:color w:val="FF0000"/>
                      <w:kern w:val="0"/>
                      <w:sz w:val="16"/>
                      <w:szCs w:val="16"/>
                    </w:rPr>
                    <w:t>排名第4</w:t>
                  </w:r>
                </w:p>
              </w:tc>
              <w:tc>
                <w:tcPr>
                  <w:tcW w:w="605" w:type="pct"/>
                  <w:vAlign w:val="center"/>
                </w:tcPr>
                <w:p>
                  <w:pPr>
                    <w:widowControl/>
                    <w:spacing w:line="240" w:lineRule="auto"/>
                    <w:jc w:val="center"/>
                    <w:rPr>
                      <w:rFonts w:ascii="宋体" w:hAnsi="宋体" w:cs="宋体"/>
                      <w:b/>
                      <w:bCs/>
                      <w:color w:val="FF0000"/>
                      <w:kern w:val="0"/>
                      <w:sz w:val="16"/>
                      <w:szCs w:val="16"/>
                    </w:rPr>
                  </w:pPr>
                  <w:r>
                    <w:rPr>
                      <w:rFonts w:hint="eastAsia" w:ascii="宋体" w:hAnsi="宋体" w:cs="宋体"/>
                      <w:b/>
                      <w:bCs/>
                      <w:color w:val="FF0000"/>
                      <w:kern w:val="0"/>
                      <w:sz w:val="16"/>
                      <w:szCs w:val="16"/>
                    </w:rPr>
                    <w:t>排名第5</w:t>
                  </w:r>
                </w:p>
              </w:tc>
              <w:tc>
                <w:tcPr>
                  <w:tcW w:w="604" w:type="pct"/>
                  <w:vAlign w:val="center"/>
                </w:tcPr>
                <w:p>
                  <w:pPr>
                    <w:widowControl/>
                    <w:spacing w:line="240" w:lineRule="auto"/>
                    <w:jc w:val="center"/>
                    <w:rPr>
                      <w:rFonts w:ascii="宋体" w:hAnsi="宋体" w:cs="宋体"/>
                      <w:b/>
                      <w:bCs/>
                      <w:color w:val="FF0000"/>
                      <w:kern w:val="0"/>
                      <w:sz w:val="16"/>
                      <w:szCs w:val="16"/>
                    </w:rPr>
                  </w:pPr>
                  <w:r>
                    <w:rPr>
                      <w:rFonts w:hint="eastAsia" w:ascii="宋体" w:hAnsi="宋体" w:cs="宋体"/>
                      <w:b/>
                      <w:bCs/>
                      <w:color w:val="FF0000"/>
                      <w:kern w:val="0"/>
                      <w:sz w:val="16"/>
                      <w:szCs w:val="16"/>
                    </w:rPr>
                    <w:t>排名第6</w:t>
                  </w:r>
                </w:p>
                <w:p>
                  <w:pPr>
                    <w:widowControl/>
                    <w:spacing w:line="240" w:lineRule="auto"/>
                    <w:jc w:val="center"/>
                    <w:rPr>
                      <w:rFonts w:ascii="宋体" w:hAnsi="宋体" w:cs="宋体"/>
                      <w:b/>
                      <w:bCs/>
                      <w:kern w:val="0"/>
                      <w:sz w:val="16"/>
                      <w:szCs w:val="16"/>
                    </w:rPr>
                  </w:pPr>
                  <w:r>
                    <w:rPr>
                      <w:rFonts w:hint="eastAsia" w:ascii="宋体" w:hAnsi="宋体" w:cs="宋体"/>
                      <w:b/>
                      <w:bCs/>
                      <w:color w:val="FF0000"/>
                      <w:kern w:val="0"/>
                      <w:sz w:val="16"/>
                      <w:szCs w:val="16"/>
                    </w:rPr>
                    <w:t>及以上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5" w:hRule="atLeast"/>
                <w:jc w:val="center"/>
              </w:trPr>
              <w:tc>
                <w:tcPr>
                  <w:tcW w:w="864"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T0类</w:t>
                  </w:r>
                </w:p>
              </w:tc>
              <w:tc>
                <w:tcPr>
                  <w:tcW w:w="1019"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40</w:t>
                  </w:r>
                </w:p>
              </w:tc>
              <w:tc>
                <w:tcPr>
                  <w:tcW w:w="2514" w:type="pct"/>
                  <w:gridSpan w:val="4"/>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28</w:t>
                  </w:r>
                </w:p>
              </w:tc>
              <w:tc>
                <w:tcPr>
                  <w:tcW w:w="604"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864"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T1类</w:t>
                  </w:r>
                </w:p>
              </w:tc>
              <w:tc>
                <w:tcPr>
                  <w:tcW w:w="1019"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30</w:t>
                  </w:r>
                </w:p>
              </w:tc>
              <w:tc>
                <w:tcPr>
                  <w:tcW w:w="2514" w:type="pct"/>
                  <w:gridSpan w:val="4"/>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21</w:t>
                  </w:r>
                </w:p>
              </w:tc>
              <w:tc>
                <w:tcPr>
                  <w:tcW w:w="604"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864"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A类</w:t>
                  </w:r>
                </w:p>
              </w:tc>
              <w:tc>
                <w:tcPr>
                  <w:tcW w:w="1019"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25</w:t>
                  </w:r>
                </w:p>
              </w:tc>
              <w:tc>
                <w:tcPr>
                  <w:tcW w:w="652"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17.5</w:t>
                  </w:r>
                </w:p>
              </w:tc>
              <w:tc>
                <w:tcPr>
                  <w:tcW w:w="652"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17.5</w:t>
                  </w:r>
                </w:p>
              </w:tc>
              <w:tc>
                <w:tcPr>
                  <w:tcW w:w="605"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2.5</w:t>
                  </w:r>
                </w:p>
              </w:tc>
              <w:tc>
                <w:tcPr>
                  <w:tcW w:w="605"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2.5</w:t>
                  </w:r>
                </w:p>
              </w:tc>
              <w:tc>
                <w:tcPr>
                  <w:tcW w:w="604"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864"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B类</w:t>
                  </w:r>
                </w:p>
              </w:tc>
              <w:tc>
                <w:tcPr>
                  <w:tcW w:w="1019"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20</w:t>
                  </w:r>
                </w:p>
              </w:tc>
              <w:tc>
                <w:tcPr>
                  <w:tcW w:w="652"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14</w:t>
                  </w:r>
                </w:p>
              </w:tc>
              <w:tc>
                <w:tcPr>
                  <w:tcW w:w="652"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2</w:t>
                  </w:r>
                </w:p>
              </w:tc>
              <w:tc>
                <w:tcPr>
                  <w:tcW w:w="605"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2</w:t>
                  </w:r>
                </w:p>
              </w:tc>
              <w:tc>
                <w:tcPr>
                  <w:tcW w:w="605"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2</w:t>
                  </w:r>
                </w:p>
              </w:tc>
              <w:tc>
                <w:tcPr>
                  <w:tcW w:w="604" w:type="pct"/>
                  <w:vAlign w:val="center"/>
                </w:tcPr>
                <w:p>
                  <w:pPr>
                    <w:widowControl/>
                    <w:spacing w:line="240" w:lineRule="auto"/>
                    <w:jc w:val="center"/>
                    <w:rPr>
                      <w:rFonts w:ascii="宋体" w:hAnsi="宋体" w:cs="宋体"/>
                      <w:color w:val="FF0000"/>
                      <w:kern w:val="0"/>
                      <w:sz w:val="16"/>
                      <w:szCs w:val="16"/>
                    </w:rPr>
                  </w:pPr>
                  <w:r>
                    <w:rPr>
                      <w:rFonts w:hint="eastAsia" w:ascii="宋体" w:hAnsi="宋体" w:cs="宋体"/>
                      <w:color w:val="FF0000"/>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864"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C类</w:t>
                  </w:r>
                </w:p>
              </w:tc>
              <w:tc>
                <w:tcPr>
                  <w:tcW w:w="1019"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15</w:t>
                  </w:r>
                </w:p>
              </w:tc>
              <w:tc>
                <w:tcPr>
                  <w:tcW w:w="3117" w:type="pct"/>
                  <w:gridSpan w:val="5"/>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864"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校级</w:t>
                  </w:r>
                </w:p>
              </w:tc>
              <w:tc>
                <w:tcPr>
                  <w:tcW w:w="1019" w:type="pct"/>
                  <w:shd w:val="clear" w:color="auto" w:fill="auto"/>
                  <w:noWrap/>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10</w:t>
                  </w:r>
                </w:p>
              </w:tc>
              <w:tc>
                <w:tcPr>
                  <w:tcW w:w="3117" w:type="pct"/>
                  <w:gridSpan w:val="5"/>
                  <w:vAlign w:val="center"/>
                </w:tcPr>
                <w:p>
                  <w:pPr>
                    <w:widowControl/>
                    <w:spacing w:line="240" w:lineRule="auto"/>
                    <w:jc w:val="center"/>
                    <w:rPr>
                      <w:rFonts w:ascii="宋体" w:hAnsi="宋体" w:cs="宋体"/>
                      <w:kern w:val="0"/>
                      <w:sz w:val="16"/>
                      <w:szCs w:val="16"/>
                    </w:rPr>
                  </w:pPr>
                  <w:r>
                    <w:rPr>
                      <w:rFonts w:hint="eastAsia" w:ascii="宋体" w:hAnsi="宋体" w:cs="宋体"/>
                      <w:kern w:val="0"/>
                      <w:sz w:val="16"/>
                      <w:szCs w:val="16"/>
                    </w:rPr>
                    <w:t>—</w:t>
                  </w:r>
                </w:p>
              </w:tc>
            </w:tr>
          </w:tbl>
          <w:p>
            <w:pPr>
              <w:spacing w:line="240" w:lineRule="auto"/>
              <w:rPr>
                <w:rFonts w:ascii="仿宋" w:hAnsi="仿宋" w:eastAsia="仿宋" w:cs="仿宋"/>
              </w:rPr>
            </w:pPr>
            <w:r>
              <w:rPr>
                <w:rFonts w:hint="eastAsia" w:ascii="仿宋" w:hAnsi="仿宋" w:eastAsia="仿宋" w:cs="仿宋"/>
              </w:rPr>
              <w:t>项目层次界定标准参照《华南农业大学学术业绩评价体系（试行）》（华南农办〔2021〕79号）。</w:t>
            </w:r>
          </w:p>
          <w:p>
            <w:pPr>
              <w:spacing w:line="240" w:lineRule="auto"/>
              <w:ind w:firstLine="480" w:firstLineChars="200"/>
              <w:rPr>
                <w:rFonts w:ascii="仿宋" w:hAnsi="仿宋" w:eastAsia="仿宋" w:cs="仿宋"/>
                <w:color w:val="FF0000"/>
              </w:rPr>
            </w:pPr>
            <w:r>
              <w:rPr>
                <w:rFonts w:hint="eastAsia" w:ascii="仿宋" w:hAnsi="仿宋" w:eastAsia="仿宋" w:cs="仿宋"/>
                <w:color w:val="FF0000"/>
              </w:rPr>
              <w:t>同一项目符合多个层次的，以符合较高层次论。</w:t>
            </w:r>
          </w:p>
          <w:p>
            <w:pPr>
              <w:spacing w:line="240" w:lineRule="auto"/>
              <w:ind w:firstLine="480" w:firstLineChars="200"/>
              <w:rPr>
                <w:rFonts w:ascii="仿宋" w:hAnsi="仿宋" w:eastAsia="仿宋" w:cs="仿宋"/>
                <w:color w:val="FF0000"/>
              </w:rPr>
            </w:pPr>
            <w:r>
              <w:rPr>
                <w:rFonts w:hint="eastAsia" w:ascii="仿宋" w:hAnsi="仿宋" w:eastAsia="仿宋" w:cs="仿宋"/>
                <w:color w:val="FF0000"/>
              </w:rPr>
              <w:t>所主持或参与的科研课题研究和科技创新创业项目，项目下达通知时间须在参评年度内。</w:t>
            </w:r>
          </w:p>
          <w:p>
            <w:pPr>
              <w:spacing w:line="240" w:lineRule="auto"/>
              <w:ind w:firstLine="480" w:firstLineChars="200"/>
              <w:rPr>
                <w:rFonts w:ascii="仿宋" w:hAnsi="仿宋" w:eastAsia="仿宋" w:cs="仿宋"/>
              </w:rPr>
            </w:pPr>
            <w:r>
              <w:rPr>
                <w:rFonts w:hint="eastAsia" w:ascii="仿宋" w:hAnsi="仿宋" w:eastAsia="仿宋" w:cs="仿宋"/>
              </w:rPr>
              <w:t>申请依照本条规定加分的，须提交立项申报书的复印件</w:t>
            </w:r>
            <w:r>
              <w:rPr>
                <w:rFonts w:hint="eastAsia" w:ascii="仿宋" w:hAnsi="仿宋" w:eastAsia="仿宋" w:cs="仿宋"/>
                <w:color w:val="FF0000"/>
              </w:rPr>
              <w:t>、</w:t>
            </w:r>
            <w:r>
              <w:rPr>
                <w:rFonts w:hint="eastAsia" w:ascii="仿宋" w:hAnsi="仿宋" w:eastAsia="仿宋" w:cs="仿宋"/>
              </w:rPr>
              <w:t>科研系统的导出证明，其中须带有水印或加盖公章的项目参与者页。</w:t>
            </w:r>
          </w:p>
        </w:tc>
        <w:tc>
          <w:tcPr>
            <w:tcW w:w="2500" w:type="pct"/>
          </w:tcPr>
          <w:p>
            <w:pPr>
              <w:spacing w:line="276" w:lineRule="auto"/>
              <w:ind w:firstLine="480"/>
              <w:rPr>
                <w:rFonts w:ascii="仿宋" w:hAnsi="仿宋" w:eastAsia="仿宋"/>
              </w:rPr>
            </w:pPr>
            <w:r>
              <w:rPr>
                <w:rFonts w:hint="eastAsia" w:ascii="仿宋" w:hAnsi="仿宋" w:eastAsia="仿宋"/>
              </w:rPr>
              <w:t>2.主持或参与科研课题研究和科技创新创业项目：</w:t>
            </w:r>
          </w:p>
          <w:p>
            <w:pPr>
              <w:spacing w:line="276" w:lineRule="auto"/>
              <w:ind w:firstLine="480"/>
              <w:rPr>
                <w:rFonts w:ascii="仿宋" w:hAnsi="仿宋" w:eastAsia="仿宋"/>
              </w:rPr>
            </w:pPr>
            <w:r>
              <w:rPr>
                <w:rFonts w:hint="eastAsia" w:ascii="仿宋" w:hAnsi="仿宋" w:eastAsia="仿宋"/>
              </w:rPr>
              <w:t>主持或参与科研课题研究和科技创新创业项目按项目层次划分进行加分，具体如下：</w:t>
            </w:r>
          </w:p>
          <w:tbl>
            <w:tblPr>
              <w:tblStyle w:val="3"/>
              <w:tblW w:w="5000" w:type="pct"/>
              <w:jc w:val="center"/>
              <w:tblLayout w:type="autofit"/>
              <w:tblCellMar>
                <w:top w:w="0" w:type="dxa"/>
                <w:left w:w="108" w:type="dxa"/>
                <w:bottom w:w="0" w:type="dxa"/>
                <w:right w:w="108" w:type="dxa"/>
              </w:tblCellMar>
            </w:tblPr>
            <w:tblGrid>
              <w:gridCol w:w="1368"/>
              <w:gridCol w:w="1185"/>
              <w:gridCol w:w="1242"/>
              <w:gridCol w:w="1200"/>
            </w:tblGrid>
            <w:tr>
              <w:tblPrEx>
                <w:tblCellMar>
                  <w:top w:w="0" w:type="dxa"/>
                  <w:left w:w="108" w:type="dxa"/>
                  <w:bottom w:w="0" w:type="dxa"/>
                  <w:right w:w="108" w:type="dxa"/>
                </w:tblCellMar>
              </w:tblPrEx>
              <w:trPr>
                <w:trHeight w:val="460" w:hRule="atLeast"/>
                <w:jc w:val="center"/>
              </w:trPr>
              <w:tc>
                <w:tcPr>
                  <w:tcW w:w="13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6"/>
                      <w:szCs w:val="16"/>
                    </w:rPr>
                  </w:pPr>
                  <w:r>
                    <w:rPr>
                      <w:rFonts w:hint="eastAsia" w:ascii="宋体" w:hAnsi="宋体" w:cs="宋体"/>
                      <w:b/>
                      <w:bCs/>
                      <w:color w:val="000000"/>
                      <w:kern w:val="0"/>
                      <w:sz w:val="16"/>
                      <w:szCs w:val="16"/>
                    </w:rPr>
                    <w:t>项目层次</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b/>
                      <w:bCs/>
                      <w:color w:val="000000"/>
                      <w:kern w:val="0"/>
                      <w:sz w:val="16"/>
                      <w:szCs w:val="16"/>
                    </w:rPr>
                  </w:pPr>
                  <w:r>
                    <w:rPr>
                      <w:rFonts w:hint="eastAsia" w:ascii="宋体" w:hAnsi="宋体" w:cs="宋体"/>
                      <w:b/>
                      <w:bCs/>
                      <w:color w:val="000000"/>
                      <w:kern w:val="0"/>
                      <w:sz w:val="16"/>
                      <w:szCs w:val="16"/>
                    </w:rPr>
                    <w:t>主持者</w:t>
                  </w:r>
                </w:p>
              </w:tc>
              <w:tc>
                <w:tcPr>
                  <w:tcW w:w="1243" w:type="pct"/>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strike/>
                      <w:color w:val="0070C0"/>
                      <w:kern w:val="0"/>
                      <w:sz w:val="16"/>
                      <w:szCs w:val="16"/>
                    </w:rPr>
                  </w:pPr>
                  <w:r>
                    <w:rPr>
                      <w:rFonts w:hint="eastAsia" w:ascii="宋体" w:hAnsi="宋体" w:cs="宋体"/>
                      <w:b/>
                      <w:bCs/>
                      <w:strike/>
                      <w:color w:val="0070C0"/>
                      <w:kern w:val="0"/>
                      <w:sz w:val="16"/>
                      <w:szCs w:val="16"/>
                    </w:rPr>
                    <w:t>主要参与者</w:t>
                  </w:r>
                </w:p>
              </w:tc>
              <w:tc>
                <w:tcPr>
                  <w:tcW w:w="1201" w:type="pct"/>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strike/>
                      <w:color w:val="0070C0"/>
                      <w:kern w:val="0"/>
                      <w:sz w:val="16"/>
                      <w:szCs w:val="16"/>
                    </w:rPr>
                  </w:pPr>
                  <w:r>
                    <w:rPr>
                      <w:rFonts w:hint="eastAsia" w:ascii="宋体" w:hAnsi="宋体" w:cs="宋体"/>
                      <w:b/>
                      <w:bCs/>
                      <w:strike/>
                      <w:color w:val="0070C0"/>
                      <w:kern w:val="0"/>
                      <w:sz w:val="16"/>
                      <w:szCs w:val="16"/>
                    </w:rPr>
                    <w:t>其他参与者</w:t>
                  </w:r>
                </w:p>
              </w:tc>
            </w:tr>
            <w:tr>
              <w:tblPrEx>
                <w:tblCellMar>
                  <w:top w:w="0" w:type="dxa"/>
                  <w:left w:w="108" w:type="dxa"/>
                  <w:bottom w:w="0" w:type="dxa"/>
                  <w:right w:w="108" w:type="dxa"/>
                </w:tblCellMar>
              </w:tblPrEx>
              <w:trPr>
                <w:trHeight w:val="460" w:hRule="atLeast"/>
                <w:jc w:val="center"/>
              </w:trPr>
              <w:tc>
                <w:tcPr>
                  <w:tcW w:w="1370"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T0类</w:t>
                  </w:r>
                </w:p>
              </w:tc>
              <w:tc>
                <w:tcPr>
                  <w:tcW w:w="118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1243" w:type="pct"/>
                  <w:tcBorders>
                    <w:top w:val="nil"/>
                    <w:left w:val="nil"/>
                    <w:bottom w:val="single" w:color="auto" w:sz="4" w:space="0"/>
                    <w:right w:val="single" w:color="auto" w:sz="4" w:space="0"/>
                  </w:tcBorders>
                  <w:vAlign w:val="center"/>
                </w:tcPr>
                <w:p>
                  <w:pPr>
                    <w:widowControl/>
                    <w:spacing w:line="276" w:lineRule="auto"/>
                    <w:jc w:val="center"/>
                    <w:rPr>
                      <w:rFonts w:ascii="宋体" w:hAnsi="宋体" w:cs="宋体"/>
                      <w:strike/>
                      <w:color w:val="0070C0"/>
                      <w:kern w:val="0"/>
                      <w:sz w:val="16"/>
                      <w:szCs w:val="16"/>
                    </w:rPr>
                  </w:pPr>
                  <w:r>
                    <w:rPr>
                      <w:rFonts w:hint="eastAsia" w:ascii="宋体" w:hAnsi="宋体" w:cs="宋体"/>
                      <w:strike/>
                      <w:color w:val="0070C0"/>
                      <w:kern w:val="0"/>
                      <w:sz w:val="16"/>
                      <w:szCs w:val="16"/>
                    </w:rPr>
                    <w:t xml:space="preserve">前五名 </w:t>
                  </w:r>
                  <w:r>
                    <w:rPr>
                      <w:rFonts w:ascii="宋体" w:hAnsi="宋体" w:cs="宋体"/>
                      <w:strike/>
                      <w:color w:val="0070C0"/>
                      <w:kern w:val="0"/>
                      <w:sz w:val="16"/>
                      <w:szCs w:val="16"/>
                    </w:rPr>
                    <w:t>28</w:t>
                  </w:r>
                </w:p>
              </w:tc>
              <w:tc>
                <w:tcPr>
                  <w:tcW w:w="1201" w:type="pct"/>
                  <w:tcBorders>
                    <w:top w:val="nil"/>
                    <w:left w:val="nil"/>
                    <w:bottom w:val="single" w:color="auto" w:sz="4" w:space="0"/>
                    <w:right w:val="single" w:color="auto" w:sz="4" w:space="0"/>
                  </w:tcBorders>
                  <w:vAlign w:val="center"/>
                </w:tcPr>
                <w:p>
                  <w:pPr>
                    <w:widowControl/>
                    <w:spacing w:line="276" w:lineRule="auto"/>
                    <w:jc w:val="center"/>
                    <w:rPr>
                      <w:rFonts w:ascii="宋体" w:hAnsi="宋体" w:cs="宋体"/>
                      <w:strike/>
                      <w:color w:val="0070C0"/>
                      <w:kern w:val="0"/>
                      <w:sz w:val="16"/>
                      <w:szCs w:val="16"/>
                    </w:rPr>
                  </w:pPr>
                  <w:r>
                    <w:rPr>
                      <w:rFonts w:hint="eastAsia" w:ascii="宋体" w:hAnsi="宋体" w:cs="宋体"/>
                      <w:strike/>
                      <w:color w:val="0070C0"/>
                      <w:kern w:val="0"/>
                      <w:sz w:val="16"/>
                      <w:szCs w:val="16"/>
                    </w:rPr>
                    <w:t>4</w:t>
                  </w:r>
                </w:p>
              </w:tc>
            </w:tr>
            <w:tr>
              <w:tblPrEx>
                <w:tblCellMar>
                  <w:top w:w="0" w:type="dxa"/>
                  <w:left w:w="108" w:type="dxa"/>
                  <w:bottom w:w="0" w:type="dxa"/>
                  <w:right w:w="108" w:type="dxa"/>
                </w:tblCellMar>
              </w:tblPrEx>
              <w:trPr>
                <w:trHeight w:val="460" w:hRule="atLeast"/>
                <w:jc w:val="center"/>
              </w:trPr>
              <w:tc>
                <w:tcPr>
                  <w:tcW w:w="1370"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T1类</w:t>
                  </w:r>
                </w:p>
              </w:tc>
              <w:tc>
                <w:tcPr>
                  <w:tcW w:w="118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1243" w:type="pct"/>
                  <w:tcBorders>
                    <w:top w:val="nil"/>
                    <w:left w:val="nil"/>
                    <w:bottom w:val="single" w:color="auto" w:sz="4" w:space="0"/>
                    <w:right w:val="single" w:color="auto" w:sz="4" w:space="0"/>
                  </w:tcBorders>
                  <w:vAlign w:val="center"/>
                </w:tcPr>
                <w:p>
                  <w:pPr>
                    <w:widowControl/>
                    <w:spacing w:line="276" w:lineRule="auto"/>
                    <w:jc w:val="center"/>
                    <w:rPr>
                      <w:rFonts w:ascii="宋体" w:hAnsi="宋体" w:cs="宋体"/>
                      <w:strike/>
                      <w:color w:val="0070C0"/>
                      <w:kern w:val="0"/>
                      <w:sz w:val="16"/>
                      <w:szCs w:val="16"/>
                    </w:rPr>
                  </w:pPr>
                  <w:r>
                    <w:rPr>
                      <w:rFonts w:hint="eastAsia" w:ascii="宋体" w:hAnsi="宋体" w:cs="宋体"/>
                      <w:strike/>
                      <w:color w:val="0070C0"/>
                      <w:kern w:val="0"/>
                      <w:sz w:val="16"/>
                      <w:szCs w:val="16"/>
                    </w:rPr>
                    <w:t xml:space="preserve">前五名 </w:t>
                  </w:r>
                  <w:r>
                    <w:rPr>
                      <w:rFonts w:ascii="宋体" w:hAnsi="宋体" w:cs="宋体"/>
                      <w:strike/>
                      <w:color w:val="0070C0"/>
                      <w:kern w:val="0"/>
                      <w:sz w:val="16"/>
                      <w:szCs w:val="16"/>
                    </w:rPr>
                    <w:t>21</w:t>
                  </w:r>
                </w:p>
              </w:tc>
              <w:tc>
                <w:tcPr>
                  <w:tcW w:w="1201" w:type="pct"/>
                  <w:tcBorders>
                    <w:top w:val="nil"/>
                    <w:left w:val="nil"/>
                    <w:bottom w:val="single" w:color="auto" w:sz="4" w:space="0"/>
                    <w:right w:val="single" w:color="auto" w:sz="4" w:space="0"/>
                  </w:tcBorders>
                  <w:vAlign w:val="center"/>
                </w:tcPr>
                <w:p>
                  <w:pPr>
                    <w:widowControl/>
                    <w:spacing w:line="276" w:lineRule="auto"/>
                    <w:jc w:val="center"/>
                    <w:rPr>
                      <w:rFonts w:ascii="宋体" w:hAnsi="宋体" w:cs="宋体"/>
                      <w:strike/>
                      <w:color w:val="0070C0"/>
                      <w:kern w:val="0"/>
                      <w:sz w:val="16"/>
                      <w:szCs w:val="16"/>
                    </w:rPr>
                  </w:pPr>
                  <w:r>
                    <w:rPr>
                      <w:rFonts w:hint="eastAsia" w:ascii="宋体" w:hAnsi="宋体" w:cs="宋体"/>
                      <w:strike/>
                      <w:color w:val="0070C0"/>
                      <w:kern w:val="0"/>
                      <w:sz w:val="16"/>
                      <w:szCs w:val="16"/>
                    </w:rPr>
                    <w:t>3</w:t>
                  </w:r>
                </w:p>
              </w:tc>
            </w:tr>
            <w:tr>
              <w:tblPrEx>
                <w:tblCellMar>
                  <w:top w:w="0" w:type="dxa"/>
                  <w:left w:w="108" w:type="dxa"/>
                  <w:bottom w:w="0" w:type="dxa"/>
                  <w:right w:w="108" w:type="dxa"/>
                </w:tblCellMar>
              </w:tblPrEx>
              <w:trPr>
                <w:trHeight w:val="460" w:hRule="atLeast"/>
                <w:jc w:val="center"/>
              </w:trPr>
              <w:tc>
                <w:tcPr>
                  <w:tcW w:w="1370"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A类</w:t>
                  </w:r>
                </w:p>
              </w:tc>
              <w:tc>
                <w:tcPr>
                  <w:tcW w:w="118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1243" w:type="pct"/>
                  <w:tcBorders>
                    <w:top w:val="nil"/>
                    <w:left w:val="nil"/>
                    <w:bottom w:val="single" w:color="auto" w:sz="4" w:space="0"/>
                    <w:right w:val="single" w:color="auto" w:sz="4" w:space="0"/>
                  </w:tcBorders>
                  <w:vAlign w:val="center"/>
                </w:tcPr>
                <w:p>
                  <w:pPr>
                    <w:widowControl/>
                    <w:spacing w:line="276" w:lineRule="auto"/>
                    <w:jc w:val="center"/>
                    <w:rPr>
                      <w:rFonts w:ascii="宋体" w:hAnsi="宋体" w:cs="宋体"/>
                      <w:strike/>
                      <w:color w:val="0070C0"/>
                      <w:kern w:val="0"/>
                      <w:sz w:val="16"/>
                      <w:szCs w:val="16"/>
                    </w:rPr>
                  </w:pPr>
                  <w:r>
                    <w:rPr>
                      <w:rFonts w:hint="eastAsia" w:ascii="宋体" w:hAnsi="宋体" w:cs="宋体"/>
                      <w:strike/>
                      <w:color w:val="0070C0"/>
                      <w:kern w:val="0"/>
                      <w:sz w:val="16"/>
                      <w:szCs w:val="16"/>
                    </w:rPr>
                    <w:t xml:space="preserve">前三名 </w:t>
                  </w:r>
                  <w:r>
                    <w:rPr>
                      <w:rFonts w:ascii="宋体" w:hAnsi="宋体" w:cs="宋体"/>
                      <w:strike/>
                      <w:color w:val="0070C0"/>
                      <w:kern w:val="0"/>
                      <w:sz w:val="16"/>
                      <w:szCs w:val="16"/>
                    </w:rPr>
                    <w:t>17.5</w:t>
                  </w:r>
                </w:p>
              </w:tc>
              <w:tc>
                <w:tcPr>
                  <w:tcW w:w="1201" w:type="pct"/>
                  <w:tcBorders>
                    <w:top w:val="nil"/>
                    <w:left w:val="nil"/>
                    <w:bottom w:val="single" w:color="auto" w:sz="4" w:space="0"/>
                    <w:right w:val="single" w:color="auto" w:sz="4" w:space="0"/>
                  </w:tcBorders>
                  <w:vAlign w:val="center"/>
                </w:tcPr>
                <w:p>
                  <w:pPr>
                    <w:widowControl/>
                    <w:spacing w:line="276" w:lineRule="auto"/>
                    <w:jc w:val="center"/>
                    <w:rPr>
                      <w:rFonts w:ascii="宋体" w:hAnsi="宋体" w:cs="宋体"/>
                      <w:strike/>
                      <w:color w:val="0070C0"/>
                      <w:kern w:val="0"/>
                      <w:sz w:val="16"/>
                      <w:szCs w:val="16"/>
                    </w:rPr>
                  </w:pPr>
                  <w:r>
                    <w:rPr>
                      <w:rFonts w:hint="eastAsia" w:ascii="宋体" w:hAnsi="宋体" w:cs="宋体"/>
                      <w:strike/>
                      <w:color w:val="0070C0"/>
                      <w:kern w:val="0"/>
                      <w:sz w:val="16"/>
                      <w:szCs w:val="16"/>
                    </w:rPr>
                    <w:t>2</w:t>
                  </w:r>
                  <w:r>
                    <w:rPr>
                      <w:rFonts w:ascii="宋体" w:hAnsi="宋体" w:cs="宋体"/>
                      <w:strike/>
                      <w:color w:val="0070C0"/>
                      <w:kern w:val="0"/>
                      <w:sz w:val="16"/>
                      <w:szCs w:val="16"/>
                    </w:rPr>
                    <w:t>.5</w:t>
                  </w:r>
                </w:p>
              </w:tc>
            </w:tr>
            <w:tr>
              <w:tblPrEx>
                <w:tblCellMar>
                  <w:top w:w="0" w:type="dxa"/>
                  <w:left w:w="108" w:type="dxa"/>
                  <w:bottom w:w="0" w:type="dxa"/>
                  <w:right w:w="108" w:type="dxa"/>
                </w:tblCellMar>
              </w:tblPrEx>
              <w:trPr>
                <w:trHeight w:val="460" w:hRule="atLeast"/>
                <w:jc w:val="center"/>
              </w:trPr>
              <w:tc>
                <w:tcPr>
                  <w:tcW w:w="1370"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B类</w:t>
                  </w:r>
                </w:p>
              </w:tc>
              <w:tc>
                <w:tcPr>
                  <w:tcW w:w="118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1243" w:type="pct"/>
                  <w:tcBorders>
                    <w:top w:val="nil"/>
                    <w:left w:val="nil"/>
                    <w:bottom w:val="single" w:color="auto" w:sz="4" w:space="0"/>
                    <w:right w:val="single" w:color="auto" w:sz="4" w:space="0"/>
                  </w:tcBorders>
                  <w:vAlign w:val="center"/>
                </w:tcPr>
                <w:p>
                  <w:pPr>
                    <w:widowControl/>
                    <w:spacing w:line="276" w:lineRule="auto"/>
                    <w:jc w:val="center"/>
                    <w:rPr>
                      <w:rFonts w:ascii="宋体" w:hAnsi="宋体" w:cs="宋体"/>
                      <w:strike/>
                      <w:color w:val="0070C0"/>
                      <w:kern w:val="0"/>
                      <w:sz w:val="16"/>
                      <w:szCs w:val="16"/>
                    </w:rPr>
                  </w:pPr>
                  <w:r>
                    <w:rPr>
                      <w:rFonts w:hint="eastAsia" w:ascii="宋体" w:hAnsi="宋体" w:cs="宋体"/>
                      <w:strike/>
                      <w:color w:val="0070C0"/>
                      <w:kern w:val="0"/>
                      <w:sz w:val="16"/>
                      <w:szCs w:val="16"/>
                    </w:rPr>
                    <w:t xml:space="preserve">前二名 </w:t>
                  </w:r>
                  <w:r>
                    <w:rPr>
                      <w:rFonts w:ascii="宋体" w:hAnsi="宋体" w:cs="宋体"/>
                      <w:strike/>
                      <w:color w:val="0070C0"/>
                      <w:kern w:val="0"/>
                      <w:sz w:val="16"/>
                      <w:szCs w:val="16"/>
                    </w:rPr>
                    <w:t>14</w:t>
                  </w:r>
                </w:p>
              </w:tc>
              <w:tc>
                <w:tcPr>
                  <w:tcW w:w="1201" w:type="pct"/>
                  <w:tcBorders>
                    <w:top w:val="nil"/>
                    <w:left w:val="nil"/>
                    <w:bottom w:val="single" w:color="auto" w:sz="4" w:space="0"/>
                    <w:right w:val="single" w:color="auto" w:sz="4" w:space="0"/>
                  </w:tcBorders>
                  <w:vAlign w:val="center"/>
                </w:tcPr>
                <w:p>
                  <w:pPr>
                    <w:widowControl/>
                    <w:spacing w:line="276" w:lineRule="auto"/>
                    <w:jc w:val="center"/>
                    <w:rPr>
                      <w:rFonts w:ascii="宋体" w:hAnsi="宋体" w:cs="宋体"/>
                      <w:strike/>
                      <w:color w:val="0070C0"/>
                      <w:kern w:val="0"/>
                      <w:sz w:val="16"/>
                      <w:szCs w:val="16"/>
                    </w:rPr>
                  </w:pPr>
                  <w:r>
                    <w:rPr>
                      <w:rFonts w:hint="eastAsia" w:ascii="宋体" w:hAnsi="宋体" w:cs="宋体"/>
                      <w:strike/>
                      <w:color w:val="0070C0"/>
                      <w:kern w:val="0"/>
                      <w:sz w:val="16"/>
                      <w:szCs w:val="16"/>
                    </w:rPr>
                    <w:t>2</w:t>
                  </w:r>
                </w:p>
              </w:tc>
            </w:tr>
            <w:tr>
              <w:tblPrEx>
                <w:tblCellMar>
                  <w:top w:w="0" w:type="dxa"/>
                  <w:left w:w="108" w:type="dxa"/>
                  <w:bottom w:w="0" w:type="dxa"/>
                  <w:right w:w="108" w:type="dxa"/>
                </w:tblCellMar>
              </w:tblPrEx>
              <w:trPr>
                <w:trHeight w:val="460" w:hRule="atLeast"/>
                <w:jc w:val="center"/>
              </w:trPr>
              <w:tc>
                <w:tcPr>
                  <w:tcW w:w="1370"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C类</w:t>
                  </w:r>
                </w:p>
              </w:tc>
              <w:tc>
                <w:tcPr>
                  <w:tcW w:w="118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2444" w:type="pct"/>
                  <w:gridSpan w:val="2"/>
                  <w:tcBorders>
                    <w:top w:val="nil"/>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460" w:hRule="atLeast"/>
                <w:jc w:val="center"/>
              </w:trPr>
              <w:tc>
                <w:tcPr>
                  <w:tcW w:w="1370"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校级</w:t>
                  </w:r>
                </w:p>
              </w:tc>
              <w:tc>
                <w:tcPr>
                  <w:tcW w:w="118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2444" w:type="pct"/>
                  <w:gridSpan w:val="2"/>
                  <w:tcBorders>
                    <w:top w:val="nil"/>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 w:val="16"/>
                      <w:szCs w:val="16"/>
                    </w:rPr>
                  </w:pPr>
                  <w:r>
                    <w:rPr>
                      <w:rFonts w:hint="eastAsia" w:ascii="宋体" w:hAnsi="宋体" w:cs="宋体"/>
                      <w:color w:val="000000"/>
                      <w:kern w:val="0"/>
                      <w:sz w:val="16"/>
                      <w:szCs w:val="16"/>
                    </w:rPr>
                    <w:t>——————————</w:t>
                  </w:r>
                </w:p>
              </w:tc>
            </w:tr>
          </w:tbl>
          <w:p>
            <w:pPr>
              <w:spacing w:line="276" w:lineRule="auto"/>
              <w:ind w:firstLine="480"/>
              <w:rPr>
                <w:rFonts w:ascii="仿宋" w:hAnsi="仿宋" w:eastAsia="仿宋"/>
                <w:strike/>
                <w:color w:val="0070C0"/>
              </w:rPr>
            </w:pPr>
            <w:r>
              <w:rPr>
                <w:rFonts w:hint="eastAsia" w:ascii="仿宋" w:hAnsi="仿宋" w:eastAsia="仿宋"/>
              </w:rPr>
              <w:t>注： ①具体界定标准参照《华南农业大学学术业绩评价体系（试行）》（华南农办〔2021〕79号）。</w:t>
            </w:r>
            <w:r>
              <w:rPr>
                <w:rFonts w:hint="eastAsia" w:ascii="仿宋" w:hAnsi="仿宋" w:eastAsia="仿宋"/>
                <w:strike/>
                <w:color w:val="0070C0"/>
              </w:rPr>
              <w:t>同一项目只按照最高级别立项加分。</w:t>
            </w:r>
          </w:p>
          <w:p>
            <w:pPr>
              <w:spacing w:line="276" w:lineRule="auto"/>
              <w:ind w:firstLine="480"/>
              <w:rPr>
                <w:rFonts w:ascii="仿宋" w:hAnsi="仿宋" w:eastAsia="仿宋"/>
              </w:rPr>
            </w:pPr>
            <w:r>
              <w:rPr>
                <w:rFonts w:hint="eastAsia" w:ascii="仿宋" w:hAnsi="仿宋" w:eastAsia="仿宋"/>
              </w:rPr>
              <w:t>②主持或参与科研课题研究和科技创新创业项目需要提交立项申报书的复印件</w:t>
            </w:r>
            <w:r>
              <w:rPr>
                <w:rFonts w:hint="eastAsia" w:ascii="仿宋" w:hAnsi="仿宋" w:eastAsia="仿宋"/>
                <w:strike/>
                <w:color w:val="0070C0"/>
              </w:rPr>
              <w:t>或</w:t>
            </w:r>
            <w:r>
              <w:rPr>
                <w:rFonts w:hint="eastAsia" w:ascii="仿宋" w:hAnsi="仿宋" w:eastAsia="仿宋"/>
              </w:rPr>
              <w:t>科研系统的导出证明，其中必须带有水印或加盖公章的项目参与者页。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第四十六条  【参加学科竞赛、创新创业类竞赛获奖加分】</w:t>
            </w:r>
            <w:r>
              <w:rPr>
                <w:rFonts w:hint="eastAsia" w:ascii="仿宋" w:hAnsi="仿宋" w:eastAsia="仿宋" w:cs="仿宋"/>
              </w:rPr>
              <w:t>参加</w:t>
            </w:r>
            <w:r>
              <w:rPr>
                <w:rFonts w:hint="eastAsia" w:ascii="仿宋" w:hAnsi="仿宋" w:eastAsia="仿宋" w:cs="仿宋"/>
                <w:color w:val="FF0000"/>
              </w:rPr>
              <w:t>学科竞赛</w:t>
            </w:r>
            <w:r>
              <w:rPr>
                <w:rFonts w:hint="eastAsia" w:ascii="仿宋" w:hAnsi="仿宋" w:eastAsia="仿宋" w:cs="仿宋"/>
              </w:rPr>
              <w:t>、“丁颖杯”“攀登计划”等创新创业类竞赛获奖的，可以按照以下标准申请参加学科竞赛、创新创业类竞赛获奖加分：</w:t>
            </w:r>
          </w:p>
          <w:tbl>
            <w:tblPr>
              <w:tblStyle w:val="4"/>
              <w:tblpPr w:leftFromText="180" w:rightFromText="180" w:vertAnchor="text" w:horzAnchor="page" w:tblpXSpec="center" w:tblpY="15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740"/>
              <w:gridCol w:w="1096"/>
              <w:gridCol w:w="1195"/>
              <w:gridCol w:w="1302"/>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hint="eastAsia" w:ascii="仿宋" w:hAnsi="仿宋" w:eastAsia="仿宋"/>
                      <w:b/>
                      <w:bCs/>
                      <w:sz w:val="16"/>
                      <w:szCs w:val="16"/>
                    </w:rPr>
                    <w:t>个人竞赛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一等奖</w:t>
                  </w:r>
                </w:p>
                <w:p>
                  <w:pPr>
                    <w:snapToGrid w:val="0"/>
                    <w:spacing w:line="276" w:lineRule="auto"/>
                    <w:jc w:val="center"/>
                    <w:rPr>
                      <w:rFonts w:ascii="仿宋" w:hAnsi="仿宋" w:eastAsia="仿宋"/>
                      <w:b/>
                      <w:bCs/>
                      <w:sz w:val="16"/>
                      <w:szCs w:val="16"/>
                    </w:rPr>
                  </w:pPr>
                  <w:r>
                    <w:rPr>
                      <w:rFonts w:hint="eastAsia" w:ascii="仿宋" w:hAnsi="仿宋" w:eastAsia="仿宋"/>
                      <w:b/>
                      <w:bCs/>
                      <w:sz w:val="16"/>
                      <w:szCs w:val="16"/>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二等奖</w:t>
                  </w:r>
                </w:p>
                <w:p>
                  <w:pPr>
                    <w:snapToGrid w:val="0"/>
                    <w:spacing w:line="276" w:lineRule="auto"/>
                    <w:jc w:val="center"/>
                    <w:rPr>
                      <w:rFonts w:ascii="仿宋" w:hAnsi="仿宋" w:eastAsia="仿宋"/>
                      <w:b/>
                      <w:bCs/>
                      <w:sz w:val="16"/>
                      <w:szCs w:val="16"/>
                    </w:rPr>
                  </w:pPr>
                  <w:r>
                    <w:rPr>
                      <w:rFonts w:hint="eastAsia" w:ascii="仿宋" w:hAnsi="仿宋" w:eastAsia="仿宋"/>
                      <w:b/>
                      <w:bCs/>
                      <w:sz w:val="16"/>
                      <w:szCs w:val="16"/>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三等奖</w:t>
                  </w:r>
                </w:p>
                <w:p>
                  <w:pPr>
                    <w:snapToGrid w:val="0"/>
                    <w:spacing w:line="276" w:lineRule="auto"/>
                    <w:jc w:val="center"/>
                    <w:rPr>
                      <w:rFonts w:ascii="仿宋" w:hAnsi="仿宋" w:eastAsia="仿宋"/>
                      <w:b/>
                      <w:bCs/>
                      <w:sz w:val="16"/>
                      <w:szCs w:val="16"/>
                    </w:rPr>
                  </w:pPr>
                  <w:r>
                    <w:rPr>
                      <w:rFonts w:hint="eastAsia" w:ascii="仿宋" w:hAnsi="仿宋" w:eastAsia="仿宋"/>
                      <w:b/>
                      <w:bCs/>
                      <w:sz w:val="16"/>
                      <w:szCs w:val="16"/>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12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10</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8</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10</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8</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6</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8</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6</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eastAsia="Times New Roman"/>
                      <w:sz w:val="16"/>
                      <w:szCs w:val="16"/>
                    </w:rPr>
                  </w:pPr>
                  <w:r>
                    <w:rPr>
                      <w:rFonts w:eastAsia="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hint="eastAsia" w:ascii="仿宋" w:hAnsi="仿宋" w:eastAsia="仿宋"/>
                      <w:b/>
                      <w:bCs/>
                      <w:sz w:val="16"/>
                      <w:szCs w:val="16"/>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2</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1</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sz w:val="16"/>
                      <w:szCs w:val="16"/>
                    </w:rPr>
                  </w:pPr>
                  <w:r>
                    <w:rPr>
                      <w:rFonts w:hint="eastAsia" w:ascii="仿宋" w:hAnsi="仿宋" w:eastAsia="仿宋"/>
                      <w:b/>
                      <w:bCs/>
                      <w:sz w:val="16"/>
                      <w:szCs w:val="16"/>
                    </w:rPr>
                    <w:t>团队竞赛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一等奖</w:t>
                  </w:r>
                </w:p>
                <w:p>
                  <w:pPr>
                    <w:snapToGrid w:val="0"/>
                    <w:spacing w:line="276" w:lineRule="auto"/>
                    <w:jc w:val="center"/>
                    <w:rPr>
                      <w:rFonts w:ascii="仿宋" w:hAnsi="仿宋" w:eastAsia="仿宋"/>
                      <w:b/>
                      <w:bCs/>
                      <w:sz w:val="16"/>
                      <w:szCs w:val="16"/>
                    </w:rPr>
                  </w:pPr>
                  <w:r>
                    <w:rPr>
                      <w:rFonts w:hint="eastAsia" w:ascii="仿宋" w:hAnsi="仿宋" w:eastAsia="仿宋"/>
                      <w:b/>
                      <w:bCs/>
                      <w:sz w:val="16"/>
                      <w:szCs w:val="16"/>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二等奖</w:t>
                  </w:r>
                </w:p>
                <w:p>
                  <w:pPr>
                    <w:snapToGrid w:val="0"/>
                    <w:spacing w:line="276" w:lineRule="auto"/>
                    <w:jc w:val="center"/>
                    <w:rPr>
                      <w:rFonts w:ascii="仿宋" w:hAnsi="仿宋" w:eastAsia="仿宋"/>
                      <w:b/>
                      <w:bCs/>
                      <w:sz w:val="16"/>
                      <w:szCs w:val="16"/>
                    </w:rPr>
                  </w:pPr>
                  <w:r>
                    <w:rPr>
                      <w:rFonts w:hint="eastAsia" w:ascii="仿宋" w:hAnsi="仿宋" w:eastAsia="仿宋"/>
                      <w:b/>
                      <w:bCs/>
                      <w:sz w:val="16"/>
                      <w:szCs w:val="16"/>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三等奖</w:t>
                  </w:r>
                </w:p>
                <w:p>
                  <w:pPr>
                    <w:snapToGrid w:val="0"/>
                    <w:spacing w:line="276" w:lineRule="auto"/>
                    <w:jc w:val="center"/>
                    <w:rPr>
                      <w:rFonts w:ascii="仿宋" w:hAnsi="仿宋" w:eastAsia="仿宋"/>
                      <w:b/>
                      <w:bCs/>
                      <w:sz w:val="16"/>
                      <w:szCs w:val="16"/>
                    </w:rPr>
                  </w:pPr>
                  <w:r>
                    <w:rPr>
                      <w:rFonts w:hint="eastAsia" w:ascii="仿宋" w:hAnsi="仿宋" w:eastAsia="仿宋"/>
                      <w:b/>
                      <w:bCs/>
                      <w:sz w:val="16"/>
                      <w:szCs w:val="16"/>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6</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5</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5</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4</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3</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ascii="仿宋" w:hAnsi="仿宋" w:eastAsia="仿宋"/>
                      <w:b/>
                      <w:bCs/>
                      <w:sz w:val="16"/>
                      <w:szCs w:val="16"/>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3</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2</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rFonts w:ascii="仿宋" w:hAnsi="仿宋" w:eastAsia="仿宋"/>
                      <w:b/>
                      <w:bCs/>
                      <w:sz w:val="16"/>
                      <w:szCs w:val="16"/>
                    </w:rPr>
                  </w:pPr>
                  <w:r>
                    <w:rPr>
                      <w:rFonts w:hint="eastAsia" w:ascii="仿宋" w:hAnsi="仿宋" w:eastAsia="仿宋"/>
                      <w:b/>
                      <w:bCs/>
                      <w:sz w:val="16"/>
                      <w:szCs w:val="16"/>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1</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0.5</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76" w:lineRule="auto"/>
                    <w:jc w:val="center"/>
                    <w:rPr>
                      <w:sz w:val="16"/>
                      <w:szCs w:val="16"/>
                    </w:rPr>
                  </w:pPr>
                  <w:r>
                    <w:rPr>
                      <w:rFonts w:hint="eastAsia"/>
                      <w:sz w:val="16"/>
                      <w:szCs w:val="16"/>
                    </w:rPr>
                    <w:t>—</w:t>
                  </w:r>
                </w:p>
              </w:tc>
            </w:tr>
          </w:tbl>
          <w:p>
            <w:pPr>
              <w:spacing w:line="240" w:lineRule="auto"/>
              <w:ind w:firstLine="480" w:firstLineChars="200"/>
              <w:rPr>
                <w:rFonts w:ascii="仿宋" w:hAnsi="仿宋" w:eastAsia="仿宋" w:cs="仿宋"/>
              </w:rPr>
            </w:pPr>
          </w:p>
        </w:tc>
        <w:tc>
          <w:tcPr>
            <w:tcW w:w="2500" w:type="pct"/>
            <w:vAlign w:val="center"/>
          </w:tcPr>
          <w:p>
            <w:pPr>
              <w:spacing w:line="276" w:lineRule="auto"/>
              <w:ind w:firstLine="480" w:firstLineChars="200"/>
              <w:rPr>
                <w:rFonts w:ascii="仿宋" w:hAnsi="仿宋" w:eastAsia="仿宋" w:cs="仿宋"/>
              </w:rPr>
            </w:pPr>
            <w:r>
              <w:rPr>
                <w:rFonts w:hint="eastAsia" w:ascii="仿宋" w:hAnsi="仿宋" w:eastAsia="仿宋" w:cs="仿宋"/>
              </w:rPr>
              <w:t>3.参与</w:t>
            </w:r>
            <w:r>
              <w:rPr>
                <w:rFonts w:hint="eastAsia" w:ascii="仿宋" w:hAnsi="仿宋" w:eastAsia="仿宋" w:cs="仿宋"/>
                <w:strike/>
                <w:color w:val="0070C0"/>
              </w:rPr>
              <w:t>科研学术类竞赛活动</w:t>
            </w:r>
            <w:r>
              <w:rPr>
                <w:rFonts w:hint="eastAsia" w:ascii="仿宋" w:hAnsi="仿宋" w:eastAsia="仿宋" w:cs="仿宋"/>
              </w:rPr>
              <w:t>获奖加分：</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60" w:type="dxa"/>
                <w:bottom w:w="57" w:type="dxa"/>
                <w:right w:w="60" w:type="dxa"/>
              </w:tblCellMar>
            </w:tblPr>
            <w:tblGrid>
              <w:gridCol w:w="1108"/>
              <w:gridCol w:w="1007"/>
              <w:gridCol w:w="1007"/>
              <w:gridCol w:w="1007"/>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60" w:type="dxa"/>
                  <w:bottom w:w="57" w:type="dxa"/>
                  <w:right w:w="60" w:type="dxa"/>
                </w:tblCellMar>
              </w:tblPrEx>
              <w:trPr>
                <w:trHeight w:val="23" w:hRule="atLeast"/>
                <w:jc w:val="center"/>
              </w:trPr>
              <w:tc>
                <w:tcPr>
                  <w:tcW w:w="111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等级</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一等奖</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二等奖</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三等奖</w:t>
                  </w:r>
                </w:p>
              </w:tc>
              <w:tc>
                <w:tcPr>
                  <w:tcW w:w="86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60" w:type="dxa"/>
                  <w:bottom w:w="57" w:type="dxa"/>
                  <w:right w:w="60" w:type="dxa"/>
                </w:tblCellMar>
              </w:tblPrEx>
              <w:trPr>
                <w:trHeight w:val="23" w:hRule="atLeast"/>
                <w:jc w:val="center"/>
              </w:trPr>
              <w:tc>
                <w:tcPr>
                  <w:tcW w:w="111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国家级</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12</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10</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8</w:t>
                  </w:r>
                </w:p>
              </w:tc>
              <w:tc>
                <w:tcPr>
                  <w:tcW w:w="86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60" w:type="dxa"/>
                  <w:bottom w:w="57" w:type="dxa"/>
                  <w:right w:w="60" w:type="dxa"/>
                </w:tblCellMar>
              </w:tblPrEx>
              <w:trPr>
                <w:trHeight w:val="23" w:hRule="atLeast"/>
                <w:jc w:val="center"/>
              </w:trPr>
              <w:tc>
                <w:tcPr>
                  <w:tcW w:w="111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省部级</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10</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8</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6</w:t>
                  </w:r>
                </w:p>
              </w:tc>
              <w:tc>
                <w:tcPr>
                  <w:tcW w:w="86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60" w:type="dxa"/>
                  <w:bottom w:w="57" w:type="dxa"/>
                  <w:right w:w="60" w:type="dxa"/>
                </w:tblCellMar>
              </w:tblPrEx>
              <w:trPr>
                <w:trHeight w:val="23" w:hRule="atLeast"/>
                <w:jc w:val="center"/>
              </w:trPr>
              <w:tc>
                <w:tcPr>
                  <w:tcW w:w="111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ascii="仿宋" w:hAnsi="仿宋" w:eastAsia="仿宋"/>
                      <w:sz w:val="21"/>
                      <w:szCs w:val="21"/>
                    </w:rPr>
                    <w:t>市、校级</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8</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6</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4</w:t>
                  </w:r>
                </w:p>
              </w:tc>
              <w:tc>
                <w:tcPr>
                  <w:tcW w:w="86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eastAsia="Times New Roman"/>
                      <w:sz w:val="21"/>
                      <w:szCs w:val="21"/>
                    </w:rPr>
                  </w:pPr>
                  <w:r>
                    <w:rPr>
                      <w:rFonts w:eastAsia="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60" w:type="dxa"/>
                  <w:bottom w:w="57" w:type="dxa"/>
                  <w:right w:w="60" w:type="dxa"/>
                </w:tblCellMar>
              </w:tblPrEx>
              <w:trPr>
                <w:trHeight w:val="23" w:hRule="atLeast"/>
                <w:jc w:val="center"/>
              </w:trPr>
              <w:tc>
                <w:tcPr>
                  <w:tcW w:w="1111"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院级</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4</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2</w:t>
                  </w:r>
                </w:p>
              </w:tc>
              <w:tc>
                <w:tcPr>
                  <w:tcW w:w="101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1</w:t>
                  </w:r>
                </w:p>
              </w:tc>
              <w:tc>
                <w:tcPr>
                  <w:tcW w:w="860" w:type="pct"/>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sz w:val="21"/>
                      <w:szCs w:val="21"/>
                    </w:rPr>
                  </w:pPr>
                  <w:r>
                    <w:rPr>
                      <w:rFonts w:hint="eastAsia"/>
                      <w:sz w:val="21"/>
                      <w:szCs w:val="21"/>
                    </w:rPr>
                    <w:t>——</w:t>
                  </w:r>
                </w:p>
              </w:tc>
            </w:tr>
          </w:tbl>
          <w:p>
            <w:pPr>
              <w:spacing w:line="276" w:lineRule="auto"/>
              <w:ind w:firstLine="480" w:firstLineChars="200"/>
              <w:rPr>
                <w:rFonts w:ascii="仿宋" w:hAnsi="仿宋" w:eastAsia="仿宋" w:cs="仿宋"/>
              </w:rPr>
            </w:pPr>
            <w:r>
              <w:rPr>
                <w:rFonts w:hint="eastAsia" w:ascii="仿宋" w:hAnsi="仿宋" w:eastAsia="仿宋" w:cs="仿宋"/>
              </w:rPr>
              <w:t>4.参与“丁颖杯”</w:t>
            </w:r>
            <w:r>
              <w:rPr>
                <w:rFonts w:hint="eastAsia" w:ascii="仿宋" w:hAnsi="仿宋" w:eastAsia="仿宋" w:cs="仿宋"/>
                <w:strike/>
                <w:color w:val="0070C0"/>
              </w:rPr>
              <w:t>“挑战杯”</w:t>
            </w:r>
            <w:r>
              <w:rPr>
                <w:rFonts w:hint="eastAsia" w:ascii="仿宋" w:hAnsi="仿宋" w:eastAsia="仿宋" w:cs="仿宋"/>
              </w:rPr>
              <w:t>“攀登计划”等创新创业类竞赛活动获奖加分：</w:t>
            </w:r>
          </w:p>
          <w:tbl>
            <w:tblPr>
              <w:tblStyle w:val="4"/>
              <w:tblpPr w:leftFromText="180" w:rightFromText="180" w:vertAnchor="text" w:horzAnchor="page" w:tblpX="2265" w:tblpY="15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957"/>
              <w:gridCol w:w="1007"/>
              <w:gridCol w:w="1007"/>
              <w:gridCol w:w="100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1" w:hRule="atLeast"/>
              </w:trPr>
              <w:tc>
                <w:tcPr>
                  <w:tcW w:w="96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等级</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一等奖</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二等奖</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三等奖</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ascii="仿宋" w:hAnsi="仿宋" w:eastAsia="仿宋"/>
                      <w:b/>
                      <w:bCs/>
                      <w:sz w:val="21"/>
                      <w:szCs w:val="21"/>
                    </w:rPr>
                  </w:pPr>
                  <w:r>
                    <w:rPr>
                      <w:rFonts w:ascii="仿宋" w:hAnsi="仿宋" w:eastAsia="仿宋"/>
                      <w:b/>
                      <w:bCs/>
                      <w:sz w:val="21"/>
                      <w:szCs w:val="21"/>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6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ascii="仿宋" w:hAnsi="仿宋" w:eastAsia="仿宋"/>
                      <w:sz w:val="21"/>
                      <w:szCs w:val="21"/>
                    </w:rPr>
                  </w:pPr>
                  <w:r>
                    <w:rPr>
                      <w:rFonts w:ascii="仿宋" w:hAnsi="仿宋" w:eastAsia="仿宋"/>
                      <w:sz w:val="21"/>
                      <w:szCs w:val="21"/>
                    </w:rPr>
                    <w:t>国家级</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12</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10</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8</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6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ascii="仿宋" w:hAnsi="仿宋" w:eastAsia="仿宋"/>
                      <w:sz w:val="21"/>
                      <w:szCs w:val="21"/>
                    </w:rPr>
                  </w:pPr>
                  <w:r>
                    <w:rPr>
                      <w:rFonts w:ascii="仿宋" w:hAnsi="仿宋" w:eastAsia="仿宋"/>
                      <w:sz w:val="21"/>
                      <w:szCs w:val="21"/>
                    </w:rPr>
                    <w:t>省部级</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10</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8</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6</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6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ascii="仿宋" w:hAnsi="仿宋" w:eastAsia="仿宋"/>
                      <w:sz w:val="21"/>
                      <w:szCs w:val="21"/>
                    </w:rPr>
                  </w:pPr>
                  <w:r>
                    <w:rPr>
                      <w:rFonts w:ascii="仿宋" w:hAnsi="仿宋" w:eastAsia="仿宋"/>
                      <w:sz w:val="21"/>
                      <w:szCs w:val="21"/>
                    </w:rPr>
                    <w:t>市、校级</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8</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6</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4</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eastAsia="Times New Roman"/>
                      <w:sz w:val="21"/>
                      <w:szCs w:val="21"/>
                    </w:rPr>
                  </w:pPr>
                  <w:r>
                    <w:rPr>
                      <w:rFonts w:eastAsia="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6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院级</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sz w:val="21"/>
                      <w:szCs w:val="21"/>
                    </w:rPr>
                  </w:pPr>
                  <w:r>
                    <w:rPr>
                      <w:rFonts w:hint="eastAsia"/>
                      <w:sz w:val="21"/>
                      <w:szCs w:val="21"/>
                    </w:rPr>
                    <w:t>4</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sz w:val="21"/>
                      <w:szCs w:val="21"/>
                    </w:rPr>
                  </w:pPr>
                  <w:r>
                    <w:rPr>
                      <w:rFonts w:hint="eastAsia"/>
                      <w:sz w:val="21"/>
                      <w:szCs w:val="21"/>
                    </w:rPr>
                    <w:t>2</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sz w:val="21"/>
                      <w:szCs w:val="21"/>
                    </w:rPr>
                  </w:pPr>
                  <w:r>
                    <w:rPr>
                      <w:rFonts w:hint="eastAsia"/>
                      <w:sz w:val="21"/>
                      <w:szCs w:val="21"/>
                    </w:rPr>
                    <w:t>1</w:t>
                  </w:r>
                </w:p>
              </w:tc>
              <w:tc>
                <w:tcPr>
                  <w:tcW w:w="1010"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spacing w:line="240" w:lineRule="auto"/>
                    <w:jc w:val="center"/>
                    <w:rPr>
                      <w:sz w:val="21"/>
                      <w:szCs w:val="21"/>
                    </w:rPr>
                  </w:pPr>
                  <w:r>
                    <w:rPr>
                      <w:rFonts w:hint="eastAsia"/>
                      <w:sz w:val="21"/>
                      <w:szCs w:val="21"/>
                    </w:rPr>
                    <w:t>——</w:t>
                  </w:r>
                </w:p>
              </w:tc>
            </w:tr>
          </w:tbl>
          <w:p>
            <w:pPr>
              <w:spacing w:line="276" w:lineRule="auto"/>
              <w:ind w:firstLine="480" w:firstLineChars="200"/>
              <w:rPr>
                <w:rFonts w:ascii="仿宋" w:hAnsi="仿宋" w:eastAsia="仿宋" w:cs="仿宋"/>
              </w:rPr>
            </w:pPr>
            <w:r>
              <w:rPr>
                <w:rFonts w:hint="eastAsia" w:ascii="仿宋" w:hAnsi="仿宋" w:eastAsia="仿宋" w:cs="仿宋"/>
              </w:rPr>
              <w:t>获奖等级按名次设定的，则第1、2名以一等奖计；第3至5名按二等奖计；第6至8名按三等奖计。参加同一活动不同级别的活动获奖者，以最高分计，不重复计分。以团体形式参赛计相应分值的50%。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tcPr>
          <w:p>
            <w:pPr>
              <w:spacing w:line="240" w:lineRule="auto"/>
              <w:ind w:firstLine="422" w:firstLineChars="200"/>
              <w:rPr>
                <w:rFonts w:ascii="仿宋" w:hAnsi="仿宋" w:eastAsia="仿宋" w:cs="仿宋"/>
                <w:sz w:val="21"/>
                <w:szCs w:val="21"/>
              </w:rPr>
            </w:pPr>
            <w:r>
              <w:rPr>
                <w:rFonts w:hint="eastAsia" w:ascii="仿宋" w:hAnsi="仿宋" w:eastAsia="仿宋" w:cs="仿宋"/>
                <w:b/>
                <w:bCs/>
                <w:sz w:val="21"/>
                <w:szCs w:val="21"/>
              </w:rPr>
              <w:t>第四十七条  【参加学术讲座、学术会议或学术报告加分】</w:t>
            </w:r>
            <w:r>
              <w:rPr>
                <w:rFonts w:hint="eastAsia" w:ascii="仿宋" w:hAnsi="仿宋" w:eastAsia="仿宋" w:cs="仿宋"/>
                <w:sz w:val="21"/>
                <w:szCs w:val="21"/>
              </w:rPr>
              <w:t>参加</w:t>
            </w:r>
            <w:r>
              <w:rPr>
                <w:rFonts w:hint="eastAsia" w:ascii="仿宋" w:hAnsi="仿宋" w:eastAsia="仿宋" w:cs="仿宋"/>
                <w:color w:val="FF0000"/>
                <w:sz w:val="21"/>
                <w:szCs w:val="21"/>
              </w:rPr>
              <w:t>学术讲座</w:t>
            </w:r>
            <w:r>
              <w:rPr>
                <w:rFonts w:hint="eastAsia" w:ascii="仿宋" w:hAnsi="仿宋" w:eastAsia="仿宋" w:cs="仿宋"/>
                <w:sz w:val="21"/>
                <w:szCs w:val="21"/>
              </w:rPr>
              <w:t>、学术会议或学术报告的，可以按照以下标准申请加分：</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（一）参加一次校内线下学术讲座、学术会议或学术报告，可以申请加0.2分，但本项加分不得超过2分。</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（二）参加一次校外线下学术讲座、学术会议或学术报告，可以申请加0.1分，但本项加分不得超过1分。</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（三）在学术会议上宣读论文的，可以申请加5分。</w:t>
            </w:r>
            <w:r>
              <w:rPr>
                <w:rFonts w:hint="eastAsia" w:ascii="仿宋" w:hAnsi="仿宋" w:eastAsia="仿宋" w:cs="仿宋"/>
                <w:color w:val="FF0000"/>
                <w:sz w:val="21"/>
                <w:szCs w:val="21"/>
              </w:rPr>
              <w:t>申请本项加分的，须提交会议议程复印件。</w:t>
            </w:r>
          </w:p>
          <w:p>
            <w:pPr>
              <w:spacing w:line="240" w:lineRule="auto"/>
              <w:ind w:firstLine="420" w:firstLineChars="200"/>
              <w:rPr>
                <w:rFonts w:ascii="仿宋" w:hAnsi="仿宋" w:eastAsia="仿宋" w:cs="仿宋"/>
                <w:sz w:val="21"/>
                <w:szCs w:val="21"/>
              </w:rPr>
            </w:pPr>
            <w:r>
              <w:rPr>
                <w:rFonts w:hint="eastAsia" w:ascii="仿宋" w:hAnsi="仿宋" w:eastAsia="仿宋" w:cs="仿宋"/>
                <w:sz w:val="21"/>
                <w:szCs w:val="21"/>
              </w:rPr>
              <w:t>（四）论文全文被收入会议论文集</w:t>
            </w:r>
            <w:r>
              <w:rPr>
                <w:rFonts w:hint="eastAsia" w:ascii="仿宋" w:hAnsi="仿宋" w:eastAsia="仿宋" w:cs="仿宋"/>
                <w:color w:val="FF0000"/>
                <w:sz w:val="21"/>
                <w:szCs w:val="21"/>
              </w:rPr>
              <w:t>，该会议论文集有ISBN号且出版时间在参评年度内的</w:t>
            </w:r>
            <w:r>
              <w:rPr>
                <w:rFonts w:hint="eastAsia" w:ascii="仿宋" w:hAnsi="仿宋" w:eastAsia="仿宋" w:cs="仿宋"/>
                <w:sz w:val="21"/>
                <w:szCs w:val="21"/>
              </w:rPr>
              <w:t>，按照以下标准加分：</w:t>
            </w:r>
          </w:p>
          <w:tbl>
            <w:tblPr>
              <w:tblStyle w:val="4"/>
              <w:tblpPr w:leftFromText="180" w:rightFromText="180" w:vertAnchor="text" w:horzAnchor="page" w:tblpXSpec="center" w:tblpY="87"/>
              <w:tblOverlap w:val="never"/>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1247"/>
              <w:gridCol w:w="1242"/>
              <w:gridCol w:w="1242"/>
              <w:gridCol w:w="12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22" w:hRule="atLeast"/>
                <w:jc w:val="center"/>
              </w:trPr>
              <w:tc>
                <w:tcPr>
                  <w:tcW w:w="1253" w:type="pct"/>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类别</w:t>
                  </w:r>
                </w:p>
              </w:tc>
              <w:tc>
                <w:tcPr>
                  <w:tcW w:w="1248" w:type="pct"/>
                  <w:vAlign w:val="center"/>
                </w:tcPr>
                <w:p>
                  <w:pPr>
                    <w:snapToGrid w:val="0"/>
                    <w:spacing w:line="240" w:lineRule="auto"/>
                    <w:jc w:val="center"/>
                    <w:rPr>
                      <w:rFonts w:ascii="仿宋" w:hAnsi="仿宋" w:eastAsia="仿宋"/>
                      <w:color w:val="FF0000"/>
                      <w:sz w:val="21"/>
                      <w:szCs w:val="21"/>
                    </w:rPr>
                  </w:pPr>
                  <w:r>
                    <w:rPr>
                      <w:rFonts w:hint="eastAsia" w:ascii="仿宋" w:hAnsi="仿宋" w:eastAsia="仿宋"/>
                      <w:color w:val="FF0000"/>
                      <w:sz w:val="21"/>
                      <w:szCs w:val="21"/>
                    </w:rPr>
                    <w:t>第一作者</w:t>
                  </w:r>
                </w:p>
                <w:p>
                  <w:pPr>
                    <w:snapToGrid w:val="0"/>
                    <w:spacing w:line="240" w:lineRule="auto"/>
                    <w:jc w:val="center"/>
                    <w:rPr>
                      <w:rFonts w:ascii="仿宋" w:hAnsi="仿宋" w:eastAsia="仿宋"/>
                      <w:color w:val="FF0000"/>
                      <w:sz w:val="21"/>
                      <w:szCs w:val="21"/>
                    </w:rPr>
                  </w:pPr>
                  <w:r>
                    <w:rPr>
                      <w:rFonts w:hint="eastAsia" w:ascii="仿宋" w:hAnsi="仿宋" w:eastAsia="仿宋"/>
                      <w:color w:val="FF0000"/>
                      <w:sz w:val="21"/>
                      <w:szCs w:val="21"/>
                    </w:rPr>
                    <w:t>或通讯作者</w:t>
                  </w:r>
                </w:p>
              </w:tc>
              <w:tc>
                <w:tcPr>
                  <w:tcW w:w="1248" w:type="pct"/>
                  <w:vAlign w:val="center"/>
                </w:tcPr>
                <w:p>
                  <w:pPr>
                    <w:snapToGrid w:val="0"/>
                    <w:spacing w:line="240" w:lineRule="auto"/>
                    <w:jc w:val="center"/>
                    <w:rPr>
                      <w:rFonts w:ascii="仿宋" w:hAnsi="仿宋" w:eastAsia="仿宋"/>
                      <w:color w:val="FF0000"/>
                      <w:sz w:val="21"/>
                      <w:szCs w:val="21"/>
                    </w:rPr>
                  </w:pPr>
                  <w:r>
                    <w:rPr>
                      <w:rFonts w:hint="eastAsia" w:ascii="仿宋" w:hAnsi="仿宋" w:eastAsia="仿宋"/>
                      <w:color w:val="FF0000"/>
                      <w:sz w:val="21"/>
                      <w:szCs w:val="21"/>
                    </w:rPr>
                    <w:t>第二作者</w:t>
                  </w:r>
                </w:p>
              </w:tc>
              <w:tc>
                <w:tcPr>
                  <w:tcW w:w="1250" w:type="pct"/>
                  <w:vAlign w:val="center"/>
                </w:tcPr>
                <w:p>
                  <w:pPr>
                    <w:snapToGrid w:val="0"/>
                    <w:spacing w:line="240" w:lineRule="auto"/>
                    <w:jc w:val="center"/>
                    <w:rPr>
                      <w:rFonts w:ascii="仿宋" w:hAnsi="仿宋" w:eastAsia="仿宋" w:cs="仿宋"/>
                      <w:color w:val="FF0000"/>
                      <w:sz w:val="21"/>
                      <w:szCs w:val="21"/>
                    </w:rPr>
                  </w:pPr>
                  <w:r>
                    <w:rPr>
                      <w:rFonts w:hint="eastAsia" w:ascii="仿宋" w:hAnsi="仿宋" w:eastAsia="仿宋" w:cs="仿宋"/>
                      <w:color w:val="FF0000"/>
                      <w:sz w:val="21"/>
                      <w:szCs w:val="21"/>
                    </w:rPr>
                    <w:t>第三作者</w:t>
                  </w:r>
                </w:p>
                <w:p>
                  <w:pPr>
                    <w:snapToGrid w:val="0"/>
                    <w:spacing w:line="240" w:lineRule="auto"/>
                    <w:jc w:val="center"/>
                    <w:rPr>
                      <w:rFonts w:ascii="宋体" w:hAnsi="宋体"/>
                      <w:color w:val="FF0000"/>
                      <w:sz w:val="21"/>
                      <w:szCs w:val="21"/>
                    </w:rPr>
                  </w:pPr>
                  <w:r>
                    <w:rPr>
                      <w:rFonts w:hint="eastAsia" w:ascii="仿宋" w:hAnsi="仿宋" w:eastAsia="仿宋" w:cs="仿宋"/>
                      <w:color w:val="FF0000"/>
                      <w:sz w:val="21"/>
                      <w:szCs w:val="21"/>
                    </w:rPr>
                    <w:t>及排名在第三作者之后的其他作者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0" w:hRule="atLeast"/>
                <w:jc w:val="center"/>
              </w:trPr>
              <w:tc>
                <w:tcPr>
                  <w:tcW w:w="1253" w:type="pct"/>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分数</w:t>
                  </w:r>
                </w:p>
              </w:tc>
              <w:tc>
                <w:tcPr>
                  <w:tcW w:w="1248" w:type="pct"/>
                  <w:vAlign w:val="center"/>
                </w:tcPr>
                <w:p>
                  <w:pPr>
                    <w:snapToGrid w:val="0"/>
                    <w:spacing w:line="240" w:lineRule="auto"/>
                    <w:jc w:val="center"/>
                    <w:rPr>
                      <w:sz w:val="21"/>
                      <w:szCs w:val="21"/>
                    </w:rPr>
                  </w:pPr>
                  <w:r>
                    <w:rPr>
                      <w:rFonts w:hint="eastAsia"/>
                      <w:color w:val="FF0000"/>
                      <w:sz w:val="21"/>
                      <w:szCs w:val="21"/>
                    </w:rPr>
                    <w:t>10</w:t>
                  </w:r>
                </w:p>
              </w:tc>
              <w:tc>
                <w:tcPr>
                  <w:tcW w:w="1248" w:type="pct"/>
                  <w:vAlign w:val="center"/>
                </w:tcPr>
                <w:p>
                  <w:pPr>
                    <w:snapToGrid w:val="0"/>
                    <w:spacing w:line="240" w:lineRule="auto"/>
                    <w:jc w:val="center"/>
                    <w:rPr>
                      <w:color w:val="FF0000"/>
                      <w:sz w:val="21"/>
                      <w:szCs w:val="21"/>
                    </w:rPr>
                  </w:pPr>
                  <w:r>
                    <w:rPr>
                      <w:rFonts w:hint="eastAsia"/>
                      <w:color w:val="FF0000"/>
                      <w:sz w:val="21"/>
                      <w:szCs w:val="21"/>
                    </w:rPr>
                    <w:t>6</w:t>
                  </w:r>
                </w:p>
              </w:tc>
              <w:tc>
                <w:tcPr>
                  <w:tcW w:w="1250" w:type="pct"/>
                  <w:vAlign w:val="center"/>
                </w:tcPr>
                <w:p>
                  <w:pPr>
                    <w:snapToGrid w:val="0"/>
                    <w:spacing w:line="240" w:lineRule="auto"/>
                    <w:jc w:val="center"/>
                    <w:rPr>
                      <w:color w:val="FF0000"/>
                      <w:sz w:val="21"/>
                      <w:szCs w:val="21"/>
                    </w:rPr>
                  </w:pPr>
                  <w:r>
                    <w:rPr>
                      <w:rFonts w:hint="eastAsia"/>
                      <w:color w:val="FF0000"/>
                      <w:sz w:val="21"/>
                      <w:szCs w:val="21"/>
                    </w:rPr>
                    <w:t>1</w:t>
                  </w:r>
                </w:p>
              </w:tc>
            </w:tr>
          </w:tbl>
          <w:p>
            <w:pPr>
              <w:spacing w:line="240" w:lineRule="auto"/>
              <w:rPr>
                <w:rFonts w:ascii="仿宋" w:hAnsi="仿宋" w:eastAsia="仿宋" w:cs="仿宋"/>
                <w:sz w:val="21"/>
                <w:szCs w:val="21"/>
              </w:rPr>
            </w:pPr>
            <w:r>
              <w:rPr>
                <w:rFonts w:hint="eastAsia" w:ascii="仿宋" w:hAnsi="仿宋" w:eastAsia="仿宋" w:cs="仿宋"/>
                <w:color w:val="FF0000"/>
                <w:sz w:val="21"/>
                <w:szCs w:val="21"/>
              </w:rPr>
              <w:t>申请本项加分的，须提交论文集封面、版权页及目录复印件。</w:t>
            </w:r>
          </w:p>
          <w:p>
            <w:pPr>
              <w:spacing w:line="240" w:lineRule="auto"/>
              <w:ind w:firstLine="420" w:firstLineChars="200"/>
              <w:rPr>
                <w:rFonts w:ascii="仿宋" w:hAnsi="仿宋" w:eastAsia="仿宋" w:cs="仿宋"/>
                <w:color w:val="FF0000"/>
                <w:sz w:val="21"/>
                <w:szCs w:val="21"/>
              </w:rPr>
            </w:pPr>
            <w:r>
              <w:rPr>
                <w:rFonts w:hint="eastAsia" w:ascii="仿宋" w:hAnsi="仿宋" w:eastAsia="仿宋" w:cs="仿宋"/>
                <w:sz w:val="21"/>
                <w:szCs w:val="21"/>
              </w:rPr>
              <w:t>（五）在学术会议评比中，论文获奖的，按照以下标准加分：</w:t>
            </w:r>
          </w:p>
          <w:tbl>
            <w:tblPr>
              <w:tblStyle w:val="4"/>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1233"/>
              <w:gridCol w:w="1230"/>
              <w:gridCol w:w="1255"/>
              <w:gridCol w:w="12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86" w:hRule="atLeast"/>
                <w:jc w:val="center"/>
              </w:trPr>
              <w:tc>
                <w:tcPr>
                  <w:tcW w:w="2075" w:type="dxa"/>
                  <w:vAlign w:val="center"/>
                </w:tcPr>
                <w:p>
                  <w:pPr>
                    <w:snapToGrid w:val="0"/>
                    <w:spacing w:line="240" w:lineRule="auto"/>
                    <w:jc w:val="center"/>
                    <w:rPr>
                      <w:rFonts w:ascii="仿宋" w:hAnsi="仿宋" w:eastAsia="仿宋"/>
                      <w:b/>
                      <w:bCs/>
                      <w:sz w:val="21"/>
                      <w:szCs w:val="21"/>
                    </w:rPr>
                  </w:pPr>
                  <w:r>
                    <w:rPr>
                      <w:rFonts w:hint="eastAsia" w:ascii="仿宋" w:hAnsi="仿宋" w:eastAsia="仿宋"/>
                      <w:b/>
                      <w:bCs/>
                      <w:sz w:val="21"/>
                      <w:szCs w:val="21"/>
                    </w:rPr>
                    <w:t>类别</w:t>
                  </w:r>
                </w:p>
              </w:tc>
              <w:tc>
                <w:tcPr>
                  <w:tcW w:w="2069" w:type="dxa"/>
                  <w:vAlign w:val="center"/>
                </w:tcPr>
                <w:p>
                  <w:pPr>
                    <w:snapToGrid w:val="0"/>
                    <w:spacing w:line="240" w:lineRule="auto"/>
                    <w:jc w:val="center"/>
                    <w:rPr>
                      <w:rFonts w:ascii="仿宋" w:hAnsi="仿宋" w:eastAsia="仿宋"/>
                      <w:color w:val="FF0000"/>
                      <w:sz w:val="21"/>
                      <w:szCs w:val="21"/>
                    </w:rPr>
                  </w:pPr>
                  <w:r>
                    <w:rPr>
                      <w:rFonts w:hint="eastAsia" w:ascii="仿宋" w:hAnsi="仿宋" w:eastAsia="仿宋"/>
                      <w:color w:val="FF0000"/>
                      <w:sz w:val="21"/>
                      <w:szCs w:val="21"/>
                    </w:rPr>
                    <w:t>第一作者</w:t>
                  </w:r>
                </w:p>
                <w:p>
                  <w:pPr>
                    <w:snapToGrid w:val="0"/>
                    <w:spacing w:line="240" w:lineRule="auto"/>
                    <w:jc w:val="center"/>
                    <w:rPr>
                      <w:rFonts w:ascii="仿宋" w:hAnsi="仿宋" w:eastAsia="仿宋"/>
                      <w:color w:val="FF0000"/>
                      <w:sz w:val="21"/>
                      <w:szCs w:val="21"/>
                    </w:rPr>
                  </w:pPr>
                  <w:r>
                    <w:rPr>
                      <w:rFonts w:hint="eastAsia" w:ascii="仿宋" w:hAnsi="仿宋" w:eastAsia="仿宋"/>
                      <w:color w:val="FF0000"/>
                      <w:sz w:val="21"/>
                      <w:szCs w:val="21"/>
                    </w:rPr>
                    <w:t>或通讯作者</w:t>
                  </w:r>
                </w:p>
              </w:tc>
              <w:tc>
                <w:tcPr>
                  <w:tcW w:w="2069" w:type="dxa"/>
                  <w:vAlign w:val="center"/>
                </w:tcPr>
                <w:p>
                  <w:pPr>
                    <w:snapToGrid w:val="0"/>
                    <w:spacing w:line="240" w:lineRule="auto"/>
                    <w:jc w:val="center"/>
                    <w:rPr>
                      <w:rFonts w:ascii="仿宋" w:hAnsi="仿宋" w:eastAsia="仿宋"/>
                      <w:color w:val="FF0000"/>
                      <w:sz w:val="21"/>
                      <w:szCs w:val="21"/>
                    </w:rPr>
                  </w:pPr>
                  <w:r>
                    <w:rPr>
                      <w:rFonts w:hint="eastAsia" w:ascii="仿宋" w:hAnsi="仿宋" w:eastAsia="仿宋"/>
                      <w:color w:val="FF0000"/>
                      <w:sz w:val="21"/>
                      <w:szCs w:val="21"/>
                    </w:rPr>
                    <w:t>第二作者</w:t>
                  </w:r>
                </w:p>
              </w:tc>
              <w:tc>
                <w:tcPr>
                  <w:tcW w:w="2073" w:type="dxa"/>
                  <w:vAlign w:val="center"/>
                </w:tcPr>
                <w:p>
                  <w:pPr>
                    <w:snapToGrid w:val="0"/>
                    <w:spacing w:line="240" w:lineRule="auto"/>
                    <w:jc w:val="center"/>
                    <w:rPr>
                      <w:rFonts w:ascii="仿宋" w:hAnsi="仿宋" w:eastAsia="仿宋" w:cs="仿宋"/>
                      <w:color w:val="FF0000"/>
                      <w:sz w:val="21"/>
                      <w:szCs w:val="21"/>
                    </w:rPr>
                  </w:pPr>
                  <w:r>
                    <w:rPr>
                      <w:rFonts w:hint="eastAsia" w:ascii="仿宋" w:hAnsi="仿宋" w:eastAsia="仿宋" w:cs="仿宋"/>
                      <w:color w:val="FF0000"/>
                      <w:sz w:val="21"/>
                      <w:szCs w:val="21"/>
                    </w:rPr>
                    <w:t>第三作者</w:t>
                  </w:r>
                </w:p>
                <w:p>
                  <w:pPr>
                    <w:snapToGrid w:val="0"/>
                    <w:spacing w:line="240" w:lineRule="auto"/>
                    <w:jc w:val="center"/>
                    <w:rPr>
                      <w:rFonts w:ascii="宋体" w:hAnsi="宋体"/>
                      <w:color w:val="FF0000"/>
                      <w:sz w:val="21"/>
                      <w:szCs w:val="21"/>
                    </w:rPr>
                  </w:pPr>
                  <w:r>
                    <w:rPr>
                      <w:rFonts w:hint="eastAsia" w:ascii="仿宋" w:hAnsi="仿宋" w:eastAsia="仿宋" w:cs="仿宋"/>
                      <w:color w:val="FF0000"/>
                      <w:sz w:val="21"/>
                      <w:szCs w:val="21"/>
                    </w:rPr>
                    <w:t>及排名在第三作者之后的其他作者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09" w:hRule="atLeast"/>
                <w:jc w:val="center"/>
              </w:trPr>
              <w:tc>
                <w:tcPr>
                  <w:tcW w:w="2075" w:type="dxa"/>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最高级别奖项</w:t>
                  </w:r>
                </w:p>
              </w:tc>
              <w:tc>
                <w:tcPr>
                  <w:tcW w:w="2069" w:type="dxa"/>
                  <w:vAlign w:val="center"/>
                </w:tcPr>
                <w:p>
                  <w:pPr>
                    <w:snapToGrid w:val="0"/>
                    <w:spacing w:line="240" w:lineRule="auto"/>
                    <w:jc w:val="center"/>
                    <w:rPr>
                      <w:color w:val="FF0000"/>
                      <w:sz w:val="21"/>
                      <w:szCs w:val="21"/>
                    </w:rPr>
                  </w:pPr>
                  <w:r>
                    <w:rPr>
                      <w:color w:val="FF0000"/>
                      <w:sz w:val="21"/>
                      <w:szCs w:val="21"/>
                    </w:rPr>
                    <w:t>7</w:t>
                  </w:r>
                </w:p>
              </w:tc>
              <w:tc>
                <w:tcPr>
                  <w:tcW w:w="2069" w:type="dxa"/>
                  <w:vAlign w:val="center"/>
                </w:tcPr>
                <w:p>
                  <w:pPr>
                    <w:snapToGrid w:val="0"/>
                    <w:spacing w:line="240" w:lineRule="auto"/>
                    <w:jc w:val="center"/>
                    <w:rPr>
                      <w:color w:val="FF0000"/>
                      <w:sz w:val="21"/>
                      <w:szCs w:val="21"/>
                    </w:rPr>
                  </w:pPr>
                  <w:r>
                    <w:rPr>
                      <w:rFonts w:hint="eastAsia"/>
                      <w:color w:val="FF0000"/>
                      <w:sz w:val="21"/>
                      <w:szCs w:val="21"/>
                    </w:rPr>
                    <w:t>4</w:t>
                  </w:r>
                  <w:r>
                    <w:rPr>
                      <w:color w:val="FF0000"/>
                      <w:sz w:val="21"/>
                      <w:szCs w:val="21"/>
                    </w:rPr>
                    <w:t>.2</w:t>
                  </w:r>
                </w:p>
              </w:tc>
              <w:tc>
                <w:tcPr>
                  <w:tcW w:w="2073" w:type="dxa"/>
                  <w:vAlign w:val="center"/>
                </w:tcPr>
                <w:p>
                  <w:pPr>
                    <w:snapToGrid w:val="0"/>
                    <w:spacing w:line="240" w:lineRule="auto"/>
                    <w:jc w:val="center"/>
                    <w:rPr>
                      <w:color w:val="FF0000"/>
                      <w:sz w:val="21"/>
                      <w:szCs w:val="21"/>
                    </w:rPr>
                  </w:pPr>
                  <w:r>
                    <w:rPr>
                      <w:rFonts w:hint="eastAsia"/>
                      <w:color w:val="FF0000"/>
                      <w:sz w:val="21"/>
                      <w:szCs w:val="21"/>
                    </w:rPr>
                    <w:t>0</w:t>
                  </w:r>
                  <w:r>
                    <w:rPr>
                      <w:color w:val="FF0000"/>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0" w:hRule="atLeast"/>
                <w:jc w:val="center"/>
              </w:trPr>
              <w:tc>
                <w:tcPr>
                  <w:tcW w:w="2075" w:type="dxa"/>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第二级别奖项</w:t>
                  </w:r>
                </w:p>
              </w:tc>
              <w:tc>
                <w:tcPr>
                  <w:tcW w:w="2069" w:type="dxa"/>
                  <w:vAlign w:val="center"/>
                </w:tcPr>
                <w:p>
                  <w:pPr>
                    <w:snapToGrid w:val="0"/>
                    <w:spacing w:line="240" w:lineRule="auto"/>
                    <w:jc w:val="center"/>
                    <w:rPr>
                      <w:color w:val="FF0000"/>
                      <w:sz w:val="21"/>
                      <w:szCs w:val="21"/>
                    </w:rPr>
                  </w:pPr>
                  <w:r>
                    <w:rPr>
                      <w:color w:val="FF0000"/>
                      <w:sz w:val="21"/>
                      <w:szCs w:val="21"/>
                    </w:rPr>
                    <w:t>6</w:t>
                  </w:r>
                </w:p>
              </w:tc>
              <w:tc>
                <w:tcPr>
                  <w:tcW w:w="2069" w:type="dxa"/>
                  <w:vAlign w:val="center"/>
                </w:tcPr>
                <w:p>
                  <w:pPr>
                    <w:snapToGrid w:val="0"/>
                    <w:spacing w:line="240" w:lineRule="auto"/>
                    <w:jc w:val="center"/>
                    <w:rPr>
                      <w:color w:val="FF0000"/>
                      <w:sz w:val="21"/>
                      <w:szCs w:val="21"/>
                    </w:rPr>
                  </w:pPr>
                  <w:r>
                    <w:rPr>
                      <w:rFonts w:hint="eastAsia"/>
                      <w:color w:val="FF0000"/>
                      <w:sz w:val="21"/>
                      <w:szCs w:val="21"/>
                    </w:rPr>
                    <w:t>3</w:t>
                  </w:r>
                  <w:r>
                    <w:rPr>
                      <w:color w:val="FF0000"/>
                      <w:sz w:val="21"/>
                      <w:szCs w:val="21"/>
                    </w:rPr>
                    <w:t>.6</w:t>
                  </w:r>
                </w:p>
              </w:tc>
              <w:tc>
                <w:tcPr>
                  <w:tcW w:w="2073" w:type="dxa"/>
                  <w:vAlign w:val="center"/>
                </w:tcPr>
                <w:p>
                  <w:pPr>
                    <w:snapToGrid w:val="0"/>
                    <w:spacing w:line="240" w:lineRule="auto"/>
                    <w:jc w:val="center"/>
                    <w:rPr>
                      <w:color w:val="FF0000"/>
                      <w:sz w:val="21"/>
                      <w:szCs w:val="21"/>
                    </w:rPr>
                  </w:pPr>
                  <w:r>
                    <w:rPr>
                      <w:rFonts w:hint="eastAsia"/>
                      <w:color w:val="FF0000"/>
                      <w:sz w:val="21"/>
                      <w:szCs w:val="21"/>
                    </w:rPr>
                    <w:t>0</w:t>
                  </w:r>
                  <w:r>
                    <w:rPr>
                      <w:color w:val="FF0000"/>
                      <w:sz w:val="2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0" w:hRule="atLeast"/>
                <w:jc w:val="center"/>
              </w:trPr>
              <w:tc>
                <w:tcPr>
                  <w:tcW w:w="2075" w:type="dxa"/>
                  <w:vAlign w:val="center"/>
                </w:tcPr>
                <w:p>
                  <w:pPr>
                    <w:snapToGrid w:val="0"/>
                    <w:spacing w:line="240" w:lineRule="auto"/>
                    <w:jc w:val="center"/>
                    <w:rPr>
                      <w:rFonts w:ascii="仿宋" w:hAnsi="仿宋" w:eastAsia="仿宋"/>
                      <w:sz w:val="21"/>
                      <w:szCs w:val="21"/>
                    </w:rPr>
                  </w:pPr>
                  <w:r>
                    <w:rPr>
                      <w:rFonts w:hint="eastAsia" w:ascii="仿宋" w:hAnsi="仿宋" w:eastAsia="仿宋"/>
                      <w:sz w:val="21"/>
                      <w:szCs w:val="21"/>
                    </w:rPr>
                    <w:t>第三级别奖项</w:t>
                  </w:r>
                </w:p>
              </w:tc>
              <w:tc>
                <w:tcPr>
                  <w:tcW w:w="2069" w:type="dxa"/>
                  <w:vAlign w:val="center"/>
                </w:tcPr>
                <w:p>
                  <w:pPr>
                    <w:snapToGrid w:val="0"/>
                    <w:spacing w:line="240" w:lineRule="auto"/>
                    <w:jc w:val="center"/>
                    <w:rPr>
                      <w:color w:val="FF0000"/>
                      <w:sz w:val="21"/>
                      <w:szCs w:val="21"/>
                    </w:rPr>
                  </w:pPr>
                  <w:r>
                    <w:rPr>
                      <w:rFonts w:hint="eastAsia"/>
                      <w:color w:val="FF0000"/>
                      <w:sz w:val="21"/>
                      <w:szCs w:val="21"/>
                    </w:rPr>
                    <w:t>5</w:t>
                  </w:r>
                </w:p>
              </w:tc>
              <w:tc>
                <w:tcPr>
                  <w:tcW w:w="2069" w:type="dxa"/>
                  <w:vAlign w:val="center"/>
                </w:tcPr>
                <w:p>
                  <w:pPr>
                    <w:snapToGrid w:val="0"/>
                    <w:spacing w:line="240" w:lineRule="auto"/>
                    <w:jc w:val="center"/>
                    <w:rPr>
                      <w:color w:val="FF0000"/>
                      <w:sz w:val="21"/>
                      <w:szCs w:val="21"/>
                    </w:rPr>
                  </w:pPr>
                  <w:r>
                    <w:rPr>
                      <w:rFonts w:hint="eastAsia"/>
                      <w:color w:val="FF0000"/>
                      <w:sz w:val="21"/>
                      <w:szCs w:val="21"/>
                    </w:rPr>
                    <w:t>3</w:t>
                  </w:r>
                </w:p>
              </w:tc>
              <w:tc>
                <w:tcPr>
                  <w:tcW w:w="2073" w:type="dxa"/>
                  <w:vAlign w:val="center"/>
                </w:tcPr>
                <w:p>
                  <w:pPr>
                    <w:snapToGrid w:val="0"/>
                    <w:spacing w:line="240" w:lineRule="auto"/>
                    <w:jc w:val="center"/>
                    <w:rPr>
                      <w:color w:val="FF0000"/>
                      <w:sz w:val="21"/>
                      <w:szCs w:val="21"/>
                    </w:rPr>
                  </w:pPr>
                  <w:r>
                    <w:rPr>
                      <w:rFonts w:hint="eastAsia"/>
                      <w:color w:val="FF0000"/>
                      <w:sz w:val="21"/>
                      <w:szCs w:val="21"/>
                    </w:rPr>
                    <w:t>0</w:t>
                  </w:r>
                  <w:r>
                    <w:rPr>
                      <w:color w:val="FF0000"/>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20" w:hRule="atLeast"/>
                <w:jc w:val="center"/>
              </w:trPr>
              <w:tc>
                <w:tcPr>
                  <w:tcW w:w="2075" w:type="dxa"/>
                  <w:vAlign w:val="center"/>
                </w:tcPr>
                <w:p>
                  <w:pPr>
                    <w:snapToGrid w:val="0"/>
                    <w:spacing w:line="240" w:lineRule="auto"/>
                    <w:jc w:val="center"/>
                    <w:rPr>
                      <w:rFonts w:ascii="仿宋" w:hAnsi="仿宋" w:eastAsia="仿宋"/>
                      <w:color w:val="FF0000"/>
                      <w:sz w:val="21"/>
                      <w:szCs w:val="21"/>
                    </w:rPr>
                  </w:pPr>
                  <w:r>
                    <w:rPr>
                      <w:rFonts w:hint="eastAsia" w:ascii="仿宋" w:hAnsi="仿宋" w:eastAsia="仿宋"/>
                      <w:color w:val="FF0000"/>
                      <w:sz w:val="21"/>
                      <w:szCs w:val="21"/>
                    </w:rPr>
                    <w:t>其他奖项或</w:t>
                  </w:r>
                </w:p>
                <w:p>
                  <w:pPr>
                    <w:snapToGrid w:val="0"/>
                    <w:spacing w:line="240" w:lineRule="auto"/>
                    <w:jc w:val="center"/>
                    <w:rPr>
                      <w:rFonts w:ascii="仿宋" w:hAnsi="仿宋" w:eastAsia="仿宋"/>
                      <w:color w:val="FF0000"/>
                      <w:sz w:val="21"/>
                      <w:szCs w:val="21"/>
                    </w:rPr>
                  </w:pPr>
                  <w:r>
                    <w:rPr>
                      <w:rFonts w:hint="eastAsia" w:ascii="仿宋" w:hAnsi="仿宋" w:eastAsia="仿宋"/>
                      <w:color w:val="FF0000"/>
                      <w:sz w:val="21"/>
                      <w:szCs w:val="21"/>
                    </w:rPr>
                    <w:t>不分等级奖项</w:t>
                  </w:r>
                </w:p>
              </w:tc>
              <w:tc>
                <w:tcPr>
                  <w:tcW w:w="2069" w:type="dxa"/>
                  <w:vAlign w:val="center"/>
                </w:tcPr>
                <w:p>
                  <w:pPr>
                    <w:snapToGrid w:val="0"/>
                    <w:spacing w:line="240" w:lineRule="auto"/>
                    <w:jc w:val="center"/>
                    <w:rPr>
                      <w:color w:val="FF0000"/>
                      <w:sz w:val="21"/>
                      <w:szCs w:val="21"/>
                    </w:rPr>
                  </w:pPr>
                  <w:r>
                    <w:rPr>
                      <w:rFonts w:hint="eastAsia"/>
                      <w:color w:val="FF0000"/>
                      <w:sz w:val="21"/>
                      <w:szCs w:val="21"/>
                    </w:rPr>
                    <w:t>4</w:t>
                  </w:r>
                </w:p>
              </w:tc>
              <w:tc>
                <w:tcPr>
                  <w:tcW w:w="2069" w:type="dxa"/>
                  <w:vAlign w:val="center"/>
                </w:tcPr>
                <w:p>
                  <w:pPr>
                    <w:snapToGrid w:val="0"/>
                    <w:spacing w:line="240" w:lineRule="auto"/>
                    <w:jc w:val="center"/>
                    <w:rPr>
                      <w:color w:val="FF0000"/>
                      <w:sz w:val="21"/>
                      <w:szCs w:val="21"/>
                    </w:rPr>
                  </w:pPr>
                  <w:r>
                    <w:rPr>
                      <w:rFonts w:hint="eastAsia"/>
                      <w:color w:val="FF0000"/>
                      <w:sz w:val="21"/>
                      <w:szCs w:val="21"/>
                    </w:rPr>
                    <w:t>2</w:t>
                  </w:r>
                  <w:r>
                    <w:rPr>
                      <w:color w:val="FF0000"/>
                      <w:sz w:val="21"/>
                      <w:szCs w:val="21"/>
                    </w:rPr>
                    <w:t>.4</w:t>
                  </w:r>
                </w:p>
              </w:tc>
              <w:tc>
                <w:tcPr>
                  <w:tcW w:w="2073" w:type="dxa"/>
                  <w:vAlign w:val="center"/>
                </w:tcPr>
                <w:p>
                  <w:pPr>
                    <w:snapToGrid w:val="0"/>
                    <w:spacing w:line="240" w:lineRule="auto"/>
                    <w:jc w:val="center"/>
                    <w:rPr>
                      <w:color w:val="FF0000"/>
                      <w:sz w:val="21"/>
                      <w:szCs w:val="21"/>
                    </w:rPr>
                  </w:pPr>
                  <w:r>
                    <w:rPr>
                      <w:rFonts w:hint="eastAsia"/>
                      <w:color w:val="FF0000"/>
                      <w:sz w:val="21"/>
                      <w:szCs w:val="21"/>
                    </w:rPr>
                    <w:t>0</w:t>
                  </w:r>
                  <w:r>
                    <w:rPr>
                      <w:color w:val="FF0000"/>
                      <w:sz w:val="21"/>
                      <w:szCs w:val="21"/>
                    </w:rPr>
                    <w:t>.4</w:t>
                  </w:r>
                </w:p>
              </w:tc>
            </w:tr>
          </w:tbl>
          <w:p>
            <w:pPr>
              <w:spacing w:line="240" w:lineRule="auto"/>
              <w:rPr>
                <w:rFonts w:ascii="仿宋" w:hAnsi="仿宋" w:eastAsia="仿宋" w:cs="仿宋"/>
                <w:sz w:val="21"/>
                <w:szCs w:val="21"/>
              </w:rPr>
            </w:pPr>
            <w:r>
              <w:rPr>
                <w:rFonts w:hint="eastAsia" w:ascii="仿宋" w:hAnsi="仿宋" w:eastAsia="仿宋" w:cs="仿宋"/>
                <w:color w:val="FF0000"/>
                <w:sz w:val="21"/>
                <w:szCs w:val="21"/>
              </w:rPr>
              <w:t>申请本项加分的，须提交获奖证书复印件。</w:t>
            </w:r>
          </w:p>
          <w:p>
            <w:pPr>
              <w:spacing w:line="240" w:lineRule="auto"/>
              <w:ind w:firstLine="420" w:firstLineChars="200"/>
              <w:rPr>
                <w:rFonts w:ascii="仿宋" w:hAnsi="仿宋" w:eastAsia="仿宋" w:cs="仿宋"/>
                <w:color w:val="FF0000"/>
                <w:sz w:val="21"/>
                <w:szCs w:val="21"/>
              </w:rPr>
            </w:pPr>
            <w:r>
              <w:rPr>
                <w:rFonts w:hint="eastAsia" w:ascii="仿宋" w:hAnsi="仿宋" w:eastAsia="仿宋" w:cs="仿宋"/>
                <w:color w:val="FF0000"/>
                <w:sz w:val="21"/>
                <w:szCs w:val="21"/>
              </w:rPr>
              <w:t>参加一次学术会议，满足前款第（一）至（五）项的两个或两个以上加分条件的，以满足分值较高的一个条件论。</w:t>
            </w:r>
          </w:p>
          <w:p>
            <w:pPr>
              <w:spacing w:line="240" w:lineRule="auto"/>
              <w:ind w:firstLine="420" w:firstLineChars="200"/>
              <w:rPr>
                <w:rFonts w:ascii="仿宋" w:hAnsi="仿宋" w:eastAsia="仿宋" w:cs="仿宋"/>
              </w:rPr>
            </w:pPr>
            <w:r>
              <w:rPr>
                <w:rFonts w:hint="eastAsia" w:ascii="仿宋" w:hAnsi="仿宋" w:eastAsia="仿宋" w:cs="仿宋"/>
                <w:sz w:val="21"/>
                <w:szCs w:val="21"/>
              </w:rPr>
              <w:t>申请依照第一款第（一）、（二）项规定加分的，</w:t>
            </w:r>
            <w:r>
              <w:rPr>
                <w:rFonts w:hint="eastAsia" w:ascii="仿宋" w:hAnsi="仿宋" w:eastAsia="仿宋" w:cs="仿宋"/>
                <w:color w:val="FF0000"/>
                <w:sz w:val="21"/>
                <w:szCs w:val="21"/>
              </w:rPr>
              <w:t>须</w:t>
            </w:r>
            <w:r>
              <w:rPr>
                <w:rFonts w:hint="eastAsia" w:ascii="仿宋" w:hAnsi="仿宋" w:eastAsia="仿宋" w:cs="仿宋"/>
                <w:sz w:val="21"/>
                <w:szCs w:val="21"/>
              </w:rPr>
              <w:t>提交加盖相关单位公章的</w:t>
            </w:r>
            <w:r>
              <w:rPr>
                <w:rFonts w:hint="eastAsia" w:ascii="仿宋" w:hAnsi="仿宋" w:eastAsia="仿宋" w:cs="仿宋"/>
                <w:color w:val="FF0000"/>
                <w:sz w:val="21"/>
                <w:szCs w:val="21"/>
              </w:rPr>
              <w:t>讲座参与证明</w:t>
            </w:r>
            <w:r>
              <w:rPr>
                <w:rFonts w:hint="eastAsia" w:ascii="仿宋" w:hAnsi="仿宋" w:eastAsia="仿宋" w:cs="仿宋"/>
                <w:sz w:val="21"/>
                <w:szCs w:val="21"/>
              </w:rPr>
              <w:t>，或官网（官微）的通知公告、报道里的参与人员名单</w:t>
            </w:r>
            <w:r>
              <w:rPr>
                <w:rFonts w:hint="eastAsia" w:ascii="仿宋" w:hAnsi="仿宋" w:eastAsia="仿宋" w:cs="仿宋"/>
                <w:color w:val="FF0000"/>
                <w:sz w:val="21"/>
                <w:szCs w:val="21"/>
              </w:rPr>
              <w:t>复印件</w:t>
            </w:r>
            <w:r>
              <w:rPr>
                <w:rFonts w:hint="eastAsia" w:ascii="仿宋" w:hAnsi="仿宋" w:eastAsia="仿宋" w:cs="仿宋"/>
                <w:sz w:val="21"/>
                <w:szCs w:val="21"/>
              </w:rPr>
              <w:t>。</w:t>
            </w:r>
          </w:p>
        </w:tc>
        <w:tc>
          <w:tcPr>
            <w:tcW w:w="2500" w:type="pct"/>
          </w:tcPr>
          <w:p>
            <w:pPr>
              <w:ind w:firstLine="480" w:firstLineChars="200"/>
              <w:rPr>
                <w:rFonts w:ascii="仿宋" w:hAnsi="仿宋" w:eastAsia="仿宋" w:cs="仿宋"/>
              </w:rPr>
            </w:pPr>
            <w:r>
              <w:rPr>
                <w:rFonts w:hint="eastAsia" w:ascii="仿宋" w:hAnsi="仿宋" w:eastAsia="仿宋" w:cs="仿宋"/>
              </w:rPr>
              <w:t>5.参加学术会议或学术报告加分</w:t>
            </w:r>
          </w:p>
          <w:p>
            <w:pPr>
              <w:ind w:firstLine="480" w:firstLineChars="200"/>
              <w:rPr>
                <w:rFonts w:ascii="仿宋" w:hAnsi="仿宋" w:eastAsia="仿宋" w:cs="仿宋"/>
              </w:rPr>
            </w:pPr>
            <w:r>
              <w:rPr>
                <w:rFonts w:hint="eastAsia" w:ascii="仿宋" w:hAnsi="仿宋" w:eastAsia="仿宋" w:cs="仿宋"/>
              </w:rPr>
              <w:t>①参加校内线下</w:t>
            </w:r>
            <w:r>
              <w:rPr>
                <w:rFonts w:hint="eastAsia" w:ascii="仿宋" w:hAnsi="仿宋" w:eastAsia="仿宋" w:cs="仿宋"/>
                <w:strike/>
                <w:color w:val="0070C0"/>
              </w:rPr>
              <w:t>专业</w:t>
            </w:r>
            <w:r>
              <w:rPr>
                <w:rFonts w:hint="eastAsia" w:ascii="仿宋" w:hAnsi="仿宋" w:eastAsia="仿宋" w:cs="仿宋"/>
              </w:rPr>
              <w:t>学术讲座学术报告，计0.2分/次，最高不超过2分；</w:t>
            </w:r>
          </w:p>
          <w:p>
            <w:pPr>
              <w:ind w:firstLine="480" w:firstLineChars="200"/>
              <w:rPr>
                <w:rFonts w:ascii="仿宋" w:hAnsi="仿宋" w:eastAsia="仿宋" w:cs="仿宋"/>
              </w:rPr>
            </w:pPr>
            <w:r>
              <w:rPr>
                <w:rFonts w:hint="eastAsia" w:ascii="仿宋" w:hAnsi="仿宋" w:eastAsia="仿宋" w:cs="仿宋"/>
              </w:rPr>
              <w:t>②参加校外线下</w:t>
            </w:r>
            <w:r>
              <w:rPr>
                <w:rFonts w:hint="eastAsia" w:ascii="仿宋" w:hAnsi="仿宋" w:eastAsia="仿宋" w:cs="仿宋"/>
                <w:strike/>
                <w:color w:val="0070C0"/>
              </w:rPr>
              <w:t>专业</w:t>
            </w:r>
            <w:r>
              <w:rPr>
                <w:rFonts w:hint="eastAsia" w:ascii="仿宋" w:hAnsi="仿宋" w:eastAsia="仿宋" w:cs="仿宋"/>
              </w:rPr>
              <w:t>学术讲座学术报告，计0.1分/次，最高不超过1分；</w:t>
            </w:r>
          </w:p>
          <w:p>
            <w:pPr>
              <w:ind w:firstLine="480" w:firstLineChars="200"/>
              <w:rPr>
                <w:rFonts w:ascii="仿宋" w:hAnsi="仿宋" w:eastAsia="仿宋" w:cs="仿宋"/>
              </w:rPr>
            </w:pPr>
            <w:r>
              <w:rPr>
                <w:rFonts w:hint="eastAsia" w:ascii="仿宋" w:hAnsi="仿宋" w:eastAsia="仿宋" w:cs="仿宋"/>
              </w:rPr>
              <w:t>③上述所有讲座证明均</w:t>
            </w:r>
            <w:r>
              <w:rPr>
                <w:rFonts w:hint="eastAsia" w:ascii="仿宋" w:hAnsi="仿宋" w:eastAsia="仿宋" w:cs="仿宋"/>
                <w:strike/>
                <w:color w:val="0070C0"/>
              </w:rPr>
              <w:t>需</w:t>
            </w:r>
            <w:r>
              <w:rPr>
                <w:rFonts w:hint="eastAsia" w:ascii="仿宋" w:hAnsi="仿宋" w:eastAsia="仿宋" w:cs="仿宋"/>
              </w:rPr>
              <w:t>提供加盖相关单位公章的</w:t>
            </w:r>
            <w:r>
              <w:rPr>
                <w:rFonts w:hint="eastAsia" w:ascii="仿宋" w:hAnsi="仿宋" w:eastAsia="仿宋" w:cs="仿宋"/>
                <w:strike/>
                <w:color w:val="0070C0"/>
              </w:rPr>
              <w:t>具体证明材料</w:t>
            </w:r>
            <w:r>
              <w:rPr>
                <w:rFonts w:hint="eastAsia" w:ascii="仿宋" w:hAnsi="仿宋" w:eastAsia="仿宋" w:cs="仿宋"/>
              </w:rPr>
              <w:t>或官网、官微的通知公告、报道里提供的参与人员名单。</w:t>
            </w:r>
            <w:r>
              <w:rPr>
                <w:rFonts w:hint="eastAsia" w:ascii="仿宋" w:hAnsi="仿宋" w:eastAsia="仿宋" w:cs="仿宋"/>
                <w:strike/>
                <w:color w:val="0070C0"/>
              </w:rPr>
              <w:t>（照片、证明人等非正式材料不计分)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第四十八条  【科研和学术分】</w:t>
            </w:r>
            <w:r>
              <w:rPr>
                <w:rFonts w:hint="eastAsia" w:ascii="仿宋" w:hAnsi="仿宋" w:eastAsia="仿宋" w:cs="仿宋"/>
              </w:rPr>
              <w:t>依据本实施细则第四十五条至第四十八条之规定申请所加分数之和，为科研和学术分。</w:t>
            </w:r>
          </w:p>
          <w:p>
            <w:pPr>
              <w:spacing w:line="240" w:lineRule="auto"/>
              <w:ind w:firstLine="480" w:firstLineChars="200"/>
              <w:rPr>
                <w:rFonts w:ascii="仿宋" w:hAnsi="仿宋" w:eastAsia="仿宋" w:cs="仿宋"/>
              </w:rPr>
            </w:pPr>
            <w:r>
              <w:rPr>
                <w:rFonts w:hint="eastAsia" w:ascii="仿宋" w:hAnsi="仿宋" w:eastAsia="仿宋" w:cs="仿宋"/>
              </w:rPr>
              <w:t>科研和学术分上限为100分。</w:t>
            </w:r>
          </w:p>
        </w:tc>
        <w:tc>
          <w:tcPr>
            <w:tcW w:w="2500" w:type="pct"/>
            <w:vAlign w:val="center"/>
          </w:tcPr>
          <w:p>
            <w:pPr>
              <w:spacing w:line="240" w:lineRule="auto"/>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第四十九条  【综合表现分】</w:t>
            </w:r>
            <w:r>
              <w:rPr>
                <w:rFonts w:hint="eastAsia" w:ascii="仿宋" w:hAnsi="仿宋" w:eastAsia="仿宋" w:cs="仿宋"/>
              </w:rPr>
              <w:t>综合表现分=思想道德品质和社会实践分×20%+学习成绩分×30%+科研和学术分×50%</w:t>
            </w:r>
          </w:p>
          <w:p>
            <w:pPr>
              <w:spacing w:line="240" w:lineRule="auto"/>
              <w:ind w:firstLine="482" w:firstLineChars="200"/>
              <w:rPr>
                <w:rFonts w:ascii="仿宋" w:hAnsi="仿宋" w:eastAsia="仿宋" w:cs="仿宋"/>
                <w:b/>
                <w:bCs/>
              </w:rPr>
            </w:pPr>
            <w:r>
              <w:rPr>
                <w:rFonts w:hint="eastAsia" w:ascii="仿宋" w:hAnsi="仿宋" w:eastAsia="仿宋" w:cs="仿宋"/>
                <w:b/>
                <w:bCs/>
              </w:rPr>
              <w:t>【二年级及二年级以上硕士研究生的排名规则】</w:t>
            </w:r>
            <w:r>
              <w:rPr>
                <w:rFonts w:hint="eastAsia" w:ascii="仿宋" w:hAnsi="仿宋" w:eastAsia="仿宋" w:cs="仿宋"/>
                <w:color w:val="FF0000"/>
              </w:rPr>
              <w:t>按照综合表现分从高到低对本年级本专业二年级以上（含二年级）硕士研究生进行排序，综合表现分相同的，由学院奖学金评审委员会确定排序。</w:t>
            </w:r>
          </w:p>
        </w:tc>
        <w:tc>
          <w:tcPr>
            <w:tcW w:w="2500" w:type="pct"/>
            <w:vAlign w:val="center"/>
          </w:tcPr>
          <w:p>
            <w:pPr>
              <w:spacing w:line="240" w:lineRule="auto"/>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第五十条  【二年级及二年级以上硕士研究生获奖等级的评选规则】</w:t>
            </w:r>
            <w:r>
              <w:rPr>
                <w:rFonts w:hint="eastAsia" w:ascii="仿宋" w:hAnsi="仿宋" w:eastAsia="仿宋" w:cs="仿宋"/>
                <w:color w:val="FF0000"/>
              </w:rPr>
              <w:t>综合考虑综合表现分排序结果、各等级奖项指标，评选二年级及二年级以上硕士研究生学业奖学金。</w:t>
            </w:r>
          </w:p>
        </w:tc>
        <w:tc>
          <w:tcPr>
            <w:tcW w:w="2500" w:type="pct"/>
            <w:vAlign w:val="center"/>
          </w:tcPr>
          <w:p>
            <w:pPr>
              <w:spacing w:line="240" w:lineRule="auto"/>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jc w:val="center"/>
              <w:rPr>
                <w:rFonts w:ascii="仿宋" w:hAnsi="仿宋" w:eastAsia="仿宋" w:cs="仿宋"/>
                <w:b/>
                <w:bCs/>
              </w:rPr>
            </w:pPr>
            <w:r>
              <w:rPr>
                <w:rFonts w:hint="eastAsia" w:ascii="仿宋" w:hAnsi="仿宋" w:eastAsia="仿宋" w:cs="仿宋"/>
                <w:b/>
                <w:bCs/>
              </w:rPr>
              <w:t>附  则</w:t>
            </w:r>
          </w:p>
        </w:tc>
        <w:tc>
          <w:tcPr>
            <w:tcW w:w="2500" w:type="pct"/>
            <w:vAlign w:val="center"/>
          </w:tcPr>
          <w:p>
            <w:pPr>
              <w:spacing w:line="240" w:lineRule="auto"/>
              <w:jc w:val="center"/>
              <w:rPr>
                <w:rFonts w:ascii="仿宋" w:hAnsi="仿宋" w:eastAsia="仿宋" w:cs="仿宋"/>
              </w:rPr>
            </w:pPr>
            <w:r>
              <w:rPr>
                <w:rFonts w:hint="eastAsia" w:ascii="仿宋" w:hAnsi="仿宋" w:eastAsia="仿宋" w:cs="仿宋"/>
                <w:b/>
                <w:bCs/>
              </w:rPr>
              <w:t>第七部分 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rPr>
            </w:pPr>
            <w:r>
              <w:rPr>
                <w:rFonts w:hint="eastAsia" w:ascii="仿宋" w:hAnsi="仿宋" w:eastAsia="仿宋" w:cs="仿宋"/>
                <w:b/>
                <w:bCs/>
              </w:rPr>
              <w:t>第四十九条</w:t>
            </w:r>
            <w:r>
              <w:rPr>
                <w:rFonts w:hint="eastAsia" w:ascii="仿宋" w:hAnsi="仿宋" w:eastAsia="仿宋" w:cs="仿宋"/>
              </w:rPr>
              <w:t xml:space="preserve">  </w:t>
            </w:r>
            <w:r>
              <w:rPr>
                <w:rFonts w:hint="eastAsia" w:ascii="仿宋" w:hAnsi="仿宋" w:eastAsia="仿宋" w:cs="仿宋"/>
                <w:color w:val="FF0000"/>
              </w:rPr>
              <w:t>获得其他研究生奖助政策资助研究生，可以同时获得学业奖学金。</w:t>
            </w:r>
          </w:p>
        </w:tc>
        <w:tc>
          <w:tcPr>
            <w:tcW w:w="2500" w:type="pct"/>
            <w:vAlign w:val="center"/>
          </w:tcPr>
          <w:p>
            <w:pPr>
              <w:spacing w:line="240" w:lineRule="auto"/>
              <w:ind w:firstLine="480" w:firstLineChars="200"/>
              <w:rPr>
                <w:rFonts w:ascii="仿宋" w:hAnsi="仿宋" w:eastAsia="仿宋" w:cs="仿宋"/>
                <w:strike/>
              </w:rPr>
            </w:pPr>
            <w:r>
              <w:rPr>
                <w:rFonts w:hint="eastAsia" w:ascii="仿宋" w:hAnsi="仿宋" w:eastAsia="仿宋" w:cs="仿宋"/>
                <w:strike/>
                <w:color w:val="0070C0"/>
              </w:rPr>
              <w:t>1．获得学业奖学金的研究生，可同时获得其他研究生奖助政策资助。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0" w:firstLineChars="200"/>
              <w:rPr>
                <w:rFonts w:ascii="仿宋" w:hAnsi="仿宋" w:eastAsia="仿宋" w:cs="仿宋"/>
              </w:rPr>
            </w:pPr>
          </w:p>
        </w:tc>
        <w:tc>
          <w:tcPr>
            <w:tcW w:w="2500" w:type="pct"/>
            <w:vAlign w:val="center"/>
          </w:tcPr>
          <w:p>
            <w:pPr>
              <w:spacing w:line="240" w:lineRule="auto"/>
              <w:ind w:firstLine="480" w:firstLineChars="200"/>
              <w:rPr>
                <w:rFonts w:ascii="仿宋" w:hAnsi="仿宋" w:eastAsia="仿宋" w:cs="仿宋"/>
                <w:strike/>
              </w:rPr>
            </w:pPr>
            <w:r>
              <w:rPr>
                <w:rFonts w:hint="eastAsia" w:ascii="仿宋" w:hAnsi="仿宋" w:eastAsia="仿宋" w:cs="仿宋"/>
                <w:strike/>
                <w:color w:val="0070C0"/>
              </w:rPr>
              <w:t>2．本办法规定的学业奖学金各等级比例及助学金标准自2022级研究生开始执行。2021级及以前年级研究生学业奖学金各等级比例及助学金标准按原办法保持不变。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 xml:space="preserve">第五十条  </w:t>
            </w:r>
            <w:r>
              <w:rPr>
                <w:rFonts w:hint="eastAsia" w:ascii="仿宋" w:hAnsi="仿宋" w:eastAsia="仿宋" w:cs="仿宋"/>
              </w:rPr>
              <w:t>本实施细则的最终解释权归人文与法学学院学业奖学金评审委员会。</w:t>
            </w:r>
          </w:p>
        </w:tc>
        <w:tc>
          <w:tcPr>
            <w:tcW w:w="2500" w:type="pct"/>
            <w:vAlign w:val="center"/>
          </w:tcPr>
          <w:p>
            <w:pPr>
              <w:spacing w:line="240" w:lineRule="auto"/>
              <w:ind w:firstLine="480" w:firstLineChars="200"/>
              <w:rPr>
                <w:rFonts w:ascii="仿宋" w:hAnsi="仿宋" w:eastAsia="仿宋" w:cs="仿宋"/>
              </w:rPr>
            </w:pPr>
            <w:r>
              <w:rPr>
                <w:rFonts w:hint="eastAsia" w:ascii="仿宋" w:hAnsi="仿宋" w:eastAsia="仿宋" w:cs="仿宋"/>
              </w:rPr>
              <w:t>3．本办法由学院学业奖学金评审委员会负责解释。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0" w:type="pct"/>
            <w:vAlign w:val="center"/>
          </w:tcPr>
          <w:p>
            <w:pPr>
              <w:spacing w:line="240" w:lineRule="auto"/>
              <w:ind w:firstLine="482" w:firstLineChars="200"/>
              <w:rPr>
                <w:rFonts w:ascii="仿宋" w:hAnsi="仿宋" w:eastAsia="仿宋" w:cs="仿宋"/>
                <w:b/>
                <w:bCs/>
              </w:rPr>
            </w:pPr>
            <w:r>
              <w:rPr>
                <w:rFonts w:hint="eastAsia" w:ascii="仿宋" w:hAnsi="仿宋" w:eastAsia="仿宋" w:cs="仿宋"/>
                <w:b/>
                <w:bCs/>
              </w:rPr>
              <w:t xml:space="preserve">第五十一条 </w:t>
            </w:r>
            <w:r>
              <w:rPr>
                <w:rFonts w:hint="eastAsia" w:ascii="仿宋" w:hAnsi="仿宋" w:eastAsia="仿宋" w:cs="仿宋"/>
              </w:rPr>
              <w:t xml:space="preserve"> 本实施细则自颁布之日起施行。人文与法学学院原相关规定与本实施细则不一致的，按本实施细则执行。</w:t>
            </w:r>
          </w:p>
        </w:tc>
        <w:tc>
          <w:tcPr>
            <w:tcW w:w="2500" w:type="pct"/>
            <w:vAlign w:val="center"/>
          </w:tcPr>
          <w:p>
            <w:pPr>
              <w:spacing w:line="240" w:lineRule="auto"/>
              <w:ind w:firstLine="480" w:firstLineChars="200"/>
              <w:rPr>
                <w:rFonts w:ascii="仿宋" w:hAnsi="仿宋" w:eastAsia="仿宋" w:cs="仿宋"/>
              </w:rPr>
            </w:pPr>
            <w:r>
              <w:rPr>
                <w:rFonts w:hint="eastAsia" w:ascii="仿宋" w:hAnsi="仿宋" w:eastAsia="仿宋" w:cs="仿宋"/>
              </w:rPr>
              <w:t>4．本办法自颁布之日起施行。学院原相关规定与本办法不一致的，按本办法执行。</w:t>
            </w:r>
          </w:p>
        </w:tc>
      </w:tr>
    </w:tbl>
    <w:p/>
    <w:sectPr>
      <w:pgSz w:w="11906" w:h="16838"/>
      <w:pgMar w:top="1134" w:right="850" w:bottom="1134" w:left="85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ZDY5NWE0N2JkYjExMzBjOWQ4NGQwZDk0MDAyMzUifQ=="/>
  </w:docVars>
  <w:rsids>
    <w:rsidRoot w:val="00764749"/>
    <w:rsid w:val="0000250E"/>
    <w:rsid w:val="0001219C"/>
    <w:rsid w:val="00012C83"/>
    <w:rsid w:val="00014A3F"/>
    <w:rsid w:val="00014A8F"/>
    <w:rsid w:val="00025C87"/>
    <w:rsid w:val="00062557"/>
    <w:rsid w:val="0009330C"/>
    <w:rsid w:val="0009578E"/>
    <w:rsid w:val="000C504A"/>
    <w:rsid w:val="000D07F1"/>
    <w:rsid w:val="000D2E38"/>
    <w:rsid w:val="000E5D5F"/>
    <w:rsid w:val="0010574F"/>
    <w:rsid w:val="00111790"/>
    <w:rsid w:val="00113582"/>
    <w:rsid w:val="00120F12"/>
    <w:rsid w:val="00132FA0"/>
    <w:rsid w:val="00174939"/>
    <w:rsid w:val="001850AF"/>
    <w:rsid w:val="00193400"/>
    <w:rsid w:val="001A02BC"/>
    <w:rsid w:val="001A4321"/>
    <w:rsid w:val="001B0351"/>
    <w:rsid w:val="001C6BB0"/>
    <w:rsid w:val="002016CE"/>
    <w:rsid w:val="002031F5"/>
    <w:rsid w:val="00205EF2"/>
    <w:rsid w:val="00207C90"/>
    <w:rsid w:val="00222513"/>
    <w:rsid w:val="002228D5"/>
    <w:rsid w:val="002275A1"/>
    <w:rsid w:val="00237CD8"/>
    <w:rsid w:val="00241790"/>
    <w:rsid w:val="002465B7"/>
    <w:rsid w:val="00271B50"/>
    <w:rsid w:val="00284219"/>
    <w:rsid w:val="002846D6"/>
    <w:rsid w:val="00291AD8"/>
    <w:rsid w:val="002975F0"/>
    <w:rsid w:val="002A0C3C"/>
    <w:rsid w:val="002A29E9"/>
    <w:rsid w:val="002A65FE"/>
    <w:rsid w:val="002C3DFB"/>
    <w:rsid w:val="002D5D93"/>
    <w:rsid w:val="003001A6"/>
    <w:rsid w:val="003125A2"/>
    <w:rsid w:val="00316901"/>
    <w:rsid w:val="00322A7D"/>
    <w:rsid w:val="00325D1A"/>
    <w:rsid w:val="00343D46"/>
    <w:rsid w:val="00385F70"/>
    <w:rsid w:val="003A3DD7"/>
    <w:rsid w:val="003A7B36"/>
    <w:rsid w:val="003B5F27"/>
    <w:rsid w:val="003E3E84"/>
    <w:rsid w:val="003F38DC"/>
    <w:rsid w:val="00402EE6"/>
    <w:rsid w:val="00485661"/>
    <w:rsid w:val="004917AB"/>
    <w:rsid w:val="004D23E6"/>
    <w:rsid w:val="004E6E88"/>
    <w:rsid w:val="004F6363"/>
    <w:rsid w:val="00506BD1"/>
    <w:rsid w:val="0052051A"/>
    <w:rsid w:val="00530A5E"/>
    <w:rsid w:val="0053110C"/>
    <w:rsid w:val="00541A76"/>
    <w:rsid w:val="005478CC"/>
    <w:rsid w:val="00591E1B"/>
    <w:rsid w:val="005B0B34"/>
    <w:rsid w:val="005B731D"/>
    <w:rsid w:val="005C3003"/>
    <w:rsid w:val="005D365A"/>
    <w:rsid w:val="005F216D"/>
    <w:rsid w:val="005F3EEB"/>
    <w:rsid w:val="00612DAA"/>
    <w:rsid w:val="00616A5C"/>
    <w:rsid w:val="00627854"/>
    <w:rsid w:val="006324C4"/>
    <w:rsid w:val="00633E37"/>
    <w:rsid w:val="00644E32"/>
    <w:rsid w:val="006522F7"/>
    <w:rsid w:val="006634C7"/>
    <w:rsid w:val="00665C7F"/>
    <w:rsid w:val="006663BD"/>
    <w:rsid w:val="0067011D"/>
    <w:rsid w:val="00672CED"/>
    <w:rsid w:val="00673B8B"/>
    <w:rsid w:val="006A1B8E"/>
    <w:rsid w:val="006A31B6"/>
    <w:rsid w:val="006A3F1D"/>
    <w:rsid w:val="006B101A"/>
    <w:rsid w:val="006C0ADF"/>
    <w:rsid w:val="006C7F21"/>
    <w:rsid w:val="006D4ED5"/>
    <w:rsid w:val="006E4F20"/>
    <w:rsid w:val="006F0DF4"/>
    <w:rsid w:val="006F4A5C"/>
    <w:rsid w:val="00714130"/>
    <w:rsid w:val="00714B7C"/>
    <w:rsid w:val="00737411"/>
    <w:rsid w:val="00741D2C"/>
    <w:rsid w:val="00754955"/>
    <w:rsid w:val="0076107F"/>
    <w:rsid w:val="00764749"/>
    <w:rsid w:val="007702C1"/>
    <w:rsid w:val="00773F9A"/>
    <w:rsid w:val="007804F3"/>
    <w:rsid w:val="00792972"/>
    <w:rsid w:val="00792C4C"/>
    <w:rsid w:val="007A77AE"/>
    <w:rsid w:val="007B77C9"/>
    <w:rsid w:val="007D57C8"/>
    <w:rsid w:val="007F3B74"/>
    <w:rsid w:val="008149B5"/>
    <w:rsid w:val="00817F5C"/>
    <w:rsid w:val="00845C48"/>
    <w:rsid w:val="008553F0"/>
    <w:rsid w:val="00861584"/>
    <w:rsid w:val="008620D3"/>
    <w:rsid w:val="008704F8"/>
    <w:rsid w:val="00875ADD"/>
    <w:rsid w:val="008B751F"/>
    <w:rsid w:val="008C4F16"/>
    <w:rsid w:val="008D5964"/>
    <w:rsid w:val="008E47D7"/>
    <w:rsid w:val="008E79D1"/>
    <w:rsid w:val="008F08F5"/>
    <w:rsid w:val="008F2BB8"/>
    <w:rsid w:val="008F5278"/>
    <w:rsid w:val="00901E1A"/>
    <w:rsid w:val="00905245"/>
    <w:rsid w:val="0091070F"/>
    <w:rsid w:val="00914C55"/>
    <w:rsid w:val="009163FC"/>
    <w:rsid w:val="00947D3A"/>
    <w:rsid w:val="0096098A"/>
    <w:rsid w:val="0096242A"/>
    <w:rsid w:val="009671C9"/>
    <w:rsid w:val="009709C2"/>
    <w:rsid w:val="009724BA"/>
    <w:rsid w:val="0098250F"/>
    <w:rsid w:val="00982CF8"/>
    <w:rsid w:val="00983109"/>
    <w:rsid w:val="009904E1"/>
    <w:rsid w:val="009972A0"/>
    <w:rsid w:val="009A2400"/>
    <w:rsid w:val="009A27B2"/>
    <w:rsid w:val="009B1A55"/>
    <w:rsid w:val="009B7C57"/>
    <w:rsid w:val="009C5477"/>
    <w:rsid w:val="009E6661"/>
    <w:rsid w:val="00A13988"/>
    <w:rsid w:val="00A323A2"/>
    <w:rsid w:val="00A7015D"/>
    <w:rsid w:val="00A8354E"/>
    <w:rsid w:val="00AA55AE"/>
    <w:rsid w:val="00AB123A"/>
    <w:rsid w:val="00AD7362"/>
    <w:rsid w:val="00B552CF"/>
    <w:rsid w:val="00B64685"/>
    <w:rsid w:val="00B70AA0"/>
    <w:rsid w:val="00B767ED"/>
    <w:rsid w:val="00B922CC"/>
    <w:rsid w:val="00BA6906"/>
    <w:rsid w:val="00BB2B52"/>
    <w:rsid w:val="00BD54E5"/>
    <w:rsid w:val="00BE247A"/>
    <w:rsid w:val="00BE3C6D"/>
    <w:rsid w:val="00BF19B4"/>
    <w:rsid w:val="00BF1A00"/>
    <w:rsid w:val="00C02BFB"/>
    <w:rsid w:val="00C128ED"/>
    <w:rsid w:val="00C477D0"/>
    <w:rsid w:val="00C53F0E"/>
    <w:rsid w:val="00C72B3B"/>
    <w:rsid w:val="00C807A1"/>
    <w:rsid w:val="00C81DF5"/>
    <w:rsid w:val="00C925A2"/>
    <w:rsid w:val="00CA00A6"/>
    <w:rsid w:val="00CA1528"/>
    <w:rsid w:val="00CA5C46"/>
    <w:rsid w:val="00CB4440"/>
    <w:rsid w:val="00CB6473"/>
    <w:rsid w:val="00CC01A8"/>
    <w:rsid w:val="00CC3BF7"/>
    <w:rsid w:val="00D056EF"/>
    <w:rsid w:val="00D07B89"/>
    <w:rsid w:val="00D14F00"/>
    <w:rsid w:val="00D17C13"/>
    <w:rsid w:val="00D257DA"/>
    <w:rsid w:val="00D25A97"/>
    <w:rsid w:val="00D276BA"/>
    <w:rsid w:val="00D435C8"/>
    <w:rsid w:val="00D54F1C"/>
    <w:rsid w:val="00D66EC4"/>
    <w:rsid w:val="00D70ED4"/>
    <w:rsid w:val="00D7111A"/>
    <w:rsid w:val="00DB3E82"/>
    <w:rsid w:val="00DD0145"/>
    <w:rsid w:val="00DF3665"/>
    <w:rsid w:val="00E01DD7"/>
    <w:rsid w:val="00E21786"/>
    <w:rsid w:val="00E26024"/>
    <w:rsid w:val="00E272C9"/>
    <w:rsid w:val="00E31154"/>
    <w:rsid w:val="00E36CA1"/>
    <w:rsid w:val="00E401CF"/>
    <w:rsid w:val="00E42989"/>
    <w:rsid w:val="00E5444D"/>
    <w:rsid w:val="00E74511"/>
    <w:rsid w:val="00E8645F"/>
    <w:rsid w:val="00EA2555"/>
    <w:rsid w:val="00EC6933"/>
    <w:rsid w:val="00F113FA"/>
    <w:rsid w:val="00F115D0"/>
    <w:rsid w:val="00F22087"/>
    <w:rsid w:val="00F273A7"/>
    <w:rsid w:val="00F33F13"/>
    <w:rsid w:val="00F33FD7"/>
    <w:rsid w:val="00F363C6"/>
    <w:rsid w:val="00F4194E"/>
    <w:rsid w:val="00F43CEA"/>
    <w:rsid w:val="00F57274"/>
    <w:rsid w:val="00F72CB9"/>
    <w:rsid w:val="00F824A9"/>
    <w:rsid w:val="00F954BA"/>
    <w:rsid w:val="00F96FC5"/>
    <w:rsid w:val="00FF0A1D"/>
    <w:rsid w:val="00FF5B58"/>
    <w:rsid w:val="02005A7B"/>
    <w:rsid w:val="026149DE"/>
    <w:rsid w:val="047B62D9"/>
    <w:rsid w:val="061F5E03"/>
    <w:rsid w:val="07061858"/>
    <w:rsid w:val="077C7219"/>
    <w:rsid w:val="07E8079C"/>
    <w:rsid w:val="08BE3C1F"/>
    <w:rsid w:val="09497E1A"/>
    <w:rsid w:val="09AC6F3A"/>
    <w:rsid w:val="0A7D7851"/>
    <w:rsid w:val="0DD13C15"/>
    <w:rsid w:val="0E2D22DF"/>
    <w:rsid w:val="0EB007DF"/>
    <w:rsid w:val="0F5C19AF"/>
    <w:rsid w:val="105570A4"/>
    <w:rsid w:val="10700897"/>
    <w:rsid w:val="111451B1"/>
    <w:rsid w:val="1122409D"/>
    <w:rsid w:val="11E1448E"/>
    <w:rsid w:val="12A838F2"/>
    <w:rsid w:val="13FF3EF7"/>
    <w:rsid w:val="1573694A"/>
    <w:rsid w:val="15AA1DE9"/>
    <w:rsid w:val="16E6314C"/>
    <w:rsid w:val="179A53BC"/>
    <w:rsid w:val="1A322407"/>
    <w:rsid w:val="1B6617D2"/>
    <w:rsid w:val="1C26614A"/>
    <w:rsid w:val="1C4A5188"/>
    <w:rsid w:val="1D022922"/>
    <w:rsid w:val="1FFC7558"/>
    <w:rsid w:val="2205092A"/>
    <w:rsid w:val="224B0307"/>
    <w:rsid w:val="228E0839"/>
    <w:rsid w:val="23CB1297"/>
    <w:rsid w:val="248B0A97"/>
    <w:rsid w:val="249D3730"/>
    <w:rsid w:val="261849A4"/>
    <w:rsid w:val="26314B59"/>
    <w:rsid w:val="27B54BA0"/>
    <w:rsid w:val="281B2218"/>
    <w:rsid w:val="287B1564"/>
    <w:rsid w:val="28AE4786"/>
    <w:rsid w:val="28DA492B"/>
    <w:rsid w:val="2AE74CA7"/>
    <w:rsid w:val="2CE73E1C"/>
    <w:rsid w:val="2E0118EF"/>
    <w:rsid w:val="2E3C5442"/>
    <w:rsid w:val="2F063F34"/>
    <w:rsid w:val="2F087C58"/>
    <w:rsid w:val="30182170"/>
    <w:rsid w:val="30B96904"/>
    <w:rsid w:val="3409654F"/>
    <w:rsid w:val="3546012B"/>
    <w:rsid w:val="3628001E"/>
    <w:rsid w:val="363552F5"/>
    <w:rsid w:val="364205E7"/>
    <w:rsid w:val="36AC3746"/>
    <w:rsid w:val="36E40CBB"/>
    <w:rsid w:val="3751103F"/>
    <w:rsid w:val="395F1C11"/>
    <w:rsid w:val="39737051"/>
    <w:rsid w:val="3A012FE7"/>
    <w:rsid w:val="3A1E3A38"/>
    <w:rsid w:val="3A5B242A"/>
    <w:rsid w:val="3C9803B9"/>
    <w:rsid w:val="3DB34EA7"/>
    <w:rsid w:val="3F0D51E3"/>
    <w:rsid w:val="3F3A6707"/>
    <w:rsid w:val="40325C23"/>
    <w:rsid w:val="403C3E07"/>
    <w:rsid w:val="418509D9"/>
    <w:rsid w:val="41923405"/>
    <w:rsid w:val="42DA6547"/>
    <w:rsid w:val="46EE732F"/>
    <w:rsid w:val="48D6181E"/>
    <w:rsid w:val="493E4372"/>
    <w:rsid w:val="494D47E1"/>
    <w:rsid w:val="49731B24"/>
    <w:rsid w:val="4B674D68"/>
    <w:rsid w:val="4B975D47"/>
    <w:rsid w:val="4C1415E6"/>
    <w:rsid w:val="4D963A62"/>
    <w:rsid w:val="4DCE5C8F"/>
    <w:rsid w:val="4E0233E2"/>
    <w:rsid w:val="4E1F261D"/>
    <w:rsid w:val="4E731B4E"/>
    <w:rsid w:val="4FF44D7B"/>
    <w:rsid w:val="519F36F3"/>
    <w:rsid w:val="51CA6E27"/>
    <w:rsid w:val="57A3302D"/>
    <w:rsid w:val="57A4568B"/>
    <w:rsid w:val="57C12C36"/>
    <w:rsid w:val="594F3C5A"/>
    <w:rsid w:val="5AC32886"/>
    <w:rsid w:val="5B8A5421"/>
    <w:rsid w:val="5E833A0B"/>
    <w:rsid w:val="5F4A536E"/>
    <w:rsid w:val="5FF94273"/>
    <w:rsid w:val="611B5BA6"/>
    <w:rsid w:val="61AD00BB"/>
    <w:rsid w:val="6288488F"/>
    <w:rsid w:val="64DE0297"/>
    <w:rsid w:val="65073893"/>
    <w:rsid w:val="66B605DB"/>
    <w:rsid w:val="68AB4C28"/>
    <w:rsid w:val="692C6ED5"/>
    <w:rsid w:val="69E712D4"/>
    <w:rsid w:val="6A4F23E9"/>
    <w:rsid w:val="6BD46244"/>
    <w:rsid w:val="6D7F005B"/>
    <w:rsid w:val="71BC2A21"/>
    <w:rsid w:val="720873D5"/>
    <w:rsid w:val="72CC7222"/>
    <w:rsid w:val="73AD66ED"/>
    <w:rsid w:val="74566F42"/>
    <w:rsid w:val="7765592F"/>
    <w:rsid w:val="78576349"/>
    <w:rsid w:val="79E1494E"/>
    <w:rsid w:val="7B0762E3"/>
    <w:rsid w:val="7B5E5BE0"/>
    <w:rsid w:val="7CC223AE"/>
    <w:rsid w:val="7DFB017F"/>
    <w:rsid w:val="7FAD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kern w:val="0"/>
      <w:sz w:val="52"/>
      <w:szCs w:val="52"/>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2922</Words>
  <Characters>16658</Characters>
  <Lines>138</Lines>
  <Paragraphs>39</Paragraphs>
  <TotalTime>17</TotalTime>
  <ScaleCrop>false</ScaleCrop>
  <LinksUpToDate>false</LinksUpToDate>
  <CharactersWithSpaces>19541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Nelson周</cp:lastModifiedBy>
  <dcterms:modified xsi:type="dcterms:W3CDTF">2023-11-21T02:51:05Z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AC085EB736CD4CE7B0A2EAF971475A7A_13</vt:lpwstr>
  </property>
</Properties>
</file>