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210" w:leftChars="100" w:right="210" w:rightChars="100"/>
        <w:jc w:val="center"/>
        <w:rPr>
          <w:rFonts w:ascii="黑体" w:hAnsi="黑体" w:eastAsia="黑体" w:cs="黑体"/>
          <w:b/>
          <w:bCs/>
          <w:color w:val="auto"/>
          <w:sz w:val="36"/>
          <w:szCs w:val="36"/>
        </w:rPr>
      </w:pPr>
      <w:bookmarkStart w:id="11" w:name="_GoBack"/>
      <w:bookmarkEnd w:id="11"/>
      <w:r>
        <w:rPr>
          <w:rFonts w:hint="eastAsia" w:ascii="黑体" w:hAnsi="黑体" w:eastAsia="黑体" w:cs="黑体"/>
          <w:b/>
          <w:bCs/>
          <w:color w:val="auto"/>
          <w:sz w:val="36"/>
          <w:szCs w:val="36"/>
        </w:rPr>
        <w:t>人文与法学学院研究生学业奖学金评选实施细则</w:t>
      </w:r>
    </w:p>
    <w:p>
      <w:pPr>
        <w:snapToGrid w:val="0"/>
        <w:spacing w:line="360" w:lineRule="auto"/>
        <w:ind w:left="210" w:leftChars="100" w:right="210" w:rightChars="100"/>
        <w:jc w:val="center"/>
        <w:rPr>
          <w:rFonts w:ascii="黑体" w:hAnsi="黑体" w:eastAsia="黑体" w:cs="黑体"/>
          <w:b/>
          <w:bCs/>
          <w:color w:val="auto"/>
          <w:sz w:val="36"/>
          <w:szCs w:val="36"/>
        </w:rPr>
      </w:pPr>
      <w:r>
        <w:rPr>
          <w:rFonts w:hint="eastAsia" w:ascii="黑体" w:hAnsi="黑体" w:eastAsia="黑体" w:cs="黑体"/>
          <w:b/>
          <w:bCs/>
          <w:color w:val="auto"/>
          <w:sz w:val="36"/>
          <w:szCs w:val="36"/>
        </w:rPr>
        <w:t>(202</w:t>
      </w:r>
      <w:r>
        <w:rPr>
          <w:rFonts w:hint="eastAsia" w:ascii="黑体" w:hAnsi="黑体" w:eastAsia="黑体" w:cs="黑体"/>
          <w:b/>
          <w:bCs/>
          <w:color w:val="auto"/>
          <w:sz w:val="36"/>
          <w:szCs w:val="36"/>
          <w:lang w:val="en-US" w:eastAsia="zh-CN"/>
        </w:rPr>
        <w:t>4</w:t>
      </w:r>
      <w:r>
        <w:rPr>
          <w:rFonts w:hint="eastAsia" w:ascii="黑体" w:hAnsi="黑体" w:eastAsia="黑体" w:cs="黑体"/>
          <w:b/>
          <w:bCs/>
          <w:color w:val="auto"/>
          <w:sz w:val="36"/>
          <w:szCs w:val="36"/>
        </w:rPr>
        <w:t>年</w:t>
      </w:r>
      <w:r>
        <w:rPr>
          <w:rFonts w:hint="eastAsia" w:ascii="黑体" w:hAnsi="黑体" w:eastAsia="黑体" w:cs="黑体"/>
          <w:b/>
          <w:bCs/>
          <w:color w:val="auto"/>
          <w:sz w:val="36"/>
          <w:szCs w:val="36"/>
          <w:lang w:eastAsia="zh-CN"/>
        </w:rPr>
        <w:t>修订</w:t>
      </w:r>
      <w:r>
        <w:rPr>
          <w:rFonts w:hint="eastAsia" w:ascii="黑体" w:hAnsi="黑体" w:eastAsia="黑体" w:cs="黑体"/>
          <w:b/>
          <w:bCs/>
          <w:color w:val="auto"/>
          <w:sz w:val="36"/>
          <w:szCs w:val="36"/>
          <w:lang w:val="en-US" w:eastAsia="zh-CN"/>
        </w:rPr>
        <w:t>版</w:t>
      </w:r>
      <w:r>
        <w:rPr>
          <w:rFonts w:hint="eastAsia" w:ascii="黑体" w:hAnsi="黑体" w:eastAsia="黑体" w:cs="黑体"/>
          <w:b/>
          <w:bCs/>
          <w:color w:val="auto"/>
          <w:sz w:val="36"/>
          <w:szCs w:val="36"/>
        </w:rPr>
        <w:t>)</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第一编 </w:t>
      </w:r>
      <w:r>
        <w:rPr>
          <w:rFonts w:ascii="黑体" w:hAnsi="黑体" w:eastAsia="黑体"/>
          <w:b/>
          <w:bCs/>
          <w:color w:val="auto"/>
          <w:kern w:val="0"/>
          <w:sz w:val="30"/>
          <w:szCs w:val="30"/>
        </w:rPr>
        <w:t>总则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第一条</w:t>
      </w:r>
      <w:r>
        <w:rPr>
          <w:rFonts w:hint="eastAsia" w:ascii="仿宋" w:hAnsi="仿宋" w:eastAsia="仿宋"/>
          <w:color w:val="auto"/>
          <w:sz w:val="28"/>
          <w:szCs w:val="28"/>
        </w:rPr>
        <w:t xml:space="preserve">  </w:t>
      </w:r>
      <w:r>
        <w:rPr>
          <w:rFonts w:ascii="仿宋" w:hAnsi="仿宋" w:eastAsia="仿宋"/>
          <w:color w:val="auto"/>
          <w:sz w:val="28"/>
          <w:szCs w:val="28"/>
        </w:rPr>
        <w:t>为激励学生勤奋学习，在德智体美劳等方面全面发展，根据《普通高等学校学生管理规定》《华南农业大学研究生奖助体系改革方案》《华南农业大学研究生国家奖助学金实施办法》等文件精神，结合学院实际，制定本</w:t>
      </w:r>
      <w:r>
        <w:rPr>
          <w:rFonts w:hint="eastAsia" w:ascii="仿宋" w:hAnsi="仿宋" w:eastAsia="仿宋"/>
          <w:color w:val="auto"/>
          <w:sz w:val="28"/>
          <w:szCs w:val="28"/>
        </w:rPr>
        <w:t>实施细则</w:t>
      </w:r>
      <w:r>
        <w:rPr>
          <w:rFonts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第二条  【评选时间】</w:t>
      </w:r>
      <w:r>
        <w:rPr>
          <w:rFonts w:ascii="仿宋" w:hAnsi="仿宋" w:eastAsia="仿宋"/>
          <w:color w:val="auto"/>
          <w:sz w:val="28"/>
          <w:szCs w:val="28"/>
        </w:rPr>
        <w:t>研究生学业奖学金每年评审一次，在九月份进行。</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第三条  【奖项设置】</w:t>
      </w:r>
      <w:r>
        <w:rPr>
          <w:rFonts w:ascii="仿宋" w:hAnsi="仿宋" w:eastAsia="仿宋"/>
          <w:color w:val="auto"/>
          <w:sz w:val="28"/>
          <w:szCs w:val="28"/>
        </w:rPr>
        <w:t>研究生学业奖学金分为硕士研究生新生学业奖学金和硕士研究生老生学业奖学金，分别设置一、二、三等奖。</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第四条  【奖项标准】</w:t>
      </w:r>
      <w:r>
        <w:rPr>
          <w:rFonts w:hint="eastAsia" w:ascii="仿宋" w:hAnsi="仿宋" w:eastAsia="仿宋"/>
          <w:color w:val="auto"/>
          <w:sz w:val="28"/>
          <w:szCs w:val="28"/>
        </w:rPr>
        <w:t>研究生</w:t>
      </w:r>
      <w:r>
        <w:rPr>
          <w:rFonts w:ascii="仿宋" w:hAnsi="仿宋" w:eastAsia="仿宋"/>
          <w:color w:val="auto"/>
          <w:sz w:val="28"/>
          <w:szCs w:val="28"/>
        </w:rPr>
        <w:t>学业奖学金的奖励标准</w:t>
      </w:r>
      <w:r>
        <w:rPr>
          <w:rFonts w:hint="eastAsia" w:ascii="仿宋" w:hAnsi="仿宋" w:eastAsia="仿宋"/>
          <w:color w:val="auto"/>
          <w:sz w:val="28"/>
          <w:szCs w:val="28"/>
        </w:rPr>
        <w:t>分为以下</w:t>
      </w:r>
      <w:r>
        <w:rPr>
          <w:rFonts w:ascii="仿宋" w:hAnsi="仿宋" w:eastAsia="仿宋"/>
          <w:color w:val="auto"/>
          <w:sz w:val="28"/>
          <w:szCs w:val="28"/>
        </w:rPr>
        <w:t>三档</w:t>
      </w:r>
      <w:r>
        <w:rPr>
          <w:rFonts w:hint="eastAsia" w:ascii="仿宋" w:hAnsi="仿宋" w:eastAsia="仿宋"/>
          <w:color w:val="auto"/>
          <w:sz w:val="28"/>
          <w:szCs w:val="28"/>
        </w:rPr>
        <w:t>：</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2296"/>
        <w:gridCol w:w="2298"/>
        <w:gridCol w:w="2298"/>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1249"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类别</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等级</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比例</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奖励标准</w:t>
            </w:r>
          </w:p>
          <w:p>
            <w:pPr>
              <w:snapToGrid w:val="0"/>
              <w:spacing w:line="500" w:lineRule="exact"/>
              <w:jc w:val="center"/>
              <w:rPr>
                <w:rFonts w:ascii="仿宋" w:hAnsi="仿宋" w:eastAsia="仿宋"/>
                <w:b/>
                <w:bCs/>
                <w:color w:val="auto"/>
                <w:sz w:val="28"/>
                <w:szCs w:val="28"/>
              </w:rPr>
            </w:pPr>
            <w:r>
              <w:rPr>
                <w:rFonts w:ascii="仿宋" w:hAnsi="仿宋" w:eastAsia="仿宋"/>
                <w:b/>
                <w:bCs/>
                <w:color w:val="auto"/>
                <w:sz w:val="28"/>
                <w:szCs w:val="28"/>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3" w:hRule="atLeast"/>
          <w:jc w:val="center"/>
        </w:trPr>
        <w:tc>
          <w:tcPr>
            <w:tcW w:w="1249" w:type="pct"/>
            <w:vMerge w:val="restar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硕士研究生</w:t>
            </w:r>
          </w:p>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学业奖学金</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一等奖</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68" w:hRule="atLeast"/>
          <w:jc w:val="center"/>
        </w:trPr>
        <w:tc>
          <w:tcPr>
            <w:tcW w:w="1249"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二等奖</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30%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9" w:hRule="atLeast"/>
          <w:jc w:val="center"/>
        </w:trPr>
        <w:tc>
          <w:tcPr>
            <w:tcW w:w="1249" w:type="pct"/>
            <w:vMerge w:val="continue"/>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仿宋" w:hAnsi="仿宋" w:eastAsia="仿宋"/>
                <w:color w:val="auto"/>
                <w:sz w:val="28"/>
                <w:szCs w:val="28"/>
              </w:rPr>
            </w:pPr>
            <w:r>
              <w:rPr>
                <w:rFonts w:ascii="仿宋" w:hAnsi="仿宋" w:eastAsia="仿宋"/>
                <w:color w:val="auto"/>
                <w:sz w:val="28"/>
                <w:szCs w:val="28"/>
              </w:rPr>
              <w:t>三等类</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50%</w:t>
            </w:r>
          </w:p>
        </w:tc>
        <w:tc>
          <w:tcPr>
            <w:tcW w:w="1250" w:type="pct"/>
            <w:tcBorders>
              <w:top w:val="single" w:color="000000" w:sz="8" w:space="0"/>
              <w:left w:val="single" w:color="000000" w:sz="8" w:space="0"/>
              <w:bottom w:val="single" w:color="000000" w:sz="8" w:space="0"/>
              <w:right w:val="single" w:color="000000" w:sz="8" w:space="0"/>
            </w:tcBorders>
            <w:vAlign w:val="center"/>
          </w:tcPr>
          <w:p>
            <w:pPr>
              <w:snapToGrid w:val="0"/>
              <w:spacing w:line="500" w:lineRule="exact"/>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3000</w:t>
            </w:r>
          </w:p>
        </w:tc>
      </w:tr>
    </w:tbl>
    <w:p>
      <w:pPr>
        <w:snapToGrid w:val="0"/>
        <w:spacing w:line="500" w:lineRule="exact"/>
        <w:rPr>
          <w:rFonts w:ascii="仿宋" w:hAnsi="仿宋" w:eastAsia="仿宋"/>
          <w:color w:val="auto"/>
          <w:sz w:val="28"/>
          <w:szCs w:val="28"/>
        </w:rPr>
      </w:pPr>
      <w:r>
        <w:rPr>
          <w:rFonts w:hint="eastAsia" w:ascii="仿宋" w:hAnsi="仿宋" w:eastAsia="仿宋"/>
          <w:color w:val="auto"/>
          <w:sz w:val="28"/>
          <w:szCs w:val="28"/>
        </w:rPr>
        <w:t>其中，获奖</w:t>
      </w:r>
      <w:r>
        <w:rPr>
          <w:rFonts w:ascii="仿宋" w:hAnsi="仿宋" w:eastAsia="仿宋"/>
          <w:color w:val="auto"/>
          <w:sz w:val="28"/>
          <w:szCs w:val="28"/>
        </w:rPr>
        <w:t>名额以在读正常学制内全日制研究生人数为基数，以学校当年下发为准，按照规定比例以四舍五入的方法分别计算各年级、各专业获奖人数。</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第一章 </w:t>
      </w:r>
      <w:r>
        <w:rPr>
          <w:rFonts w:ascii="黑体" w:hAnsi="黑体" w:eastAsia="黑体"/>
          <w:b/>
          <w:bCs/>
          <w:color w:val="auto"/>
          <w:kern w:val="0"/>
          <w:sz w:val="30"/>
          <w:szCs w:val="30"/>
        </w:rPr>
        <w:t>评选对象和申请条件</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第五条  【评选对象】</w:t>
      </w:r>
      <w:r>
        <w:rPr>
          <w:rFonts w:hint="eastAsia" w:ascii="仿宋" w:hAnsi="仿宋" w:eastAsia="仿宋"/>
          <w:color w:val="auto"/>
          <w:sz w:val="28"/>
          <w:szCs w:val="28"/>
        </w:rPr>
        <w:t>研究生学业奖学金的评选对象为</w:t>
      </w:r>
      <w:r>
        <w:rPr>
          <w:rFonts w:ascii="仿宋" w:hAnsi="仿宋" w:eastAsia="仿宋"/>
          <w:color w:val="auto"/>
          <w:sz w:val="28"/>
          <w:szCs w:val="28"/>
        </w:rPr>
        <w:t>我院正常学制内的全日制研究生（外国留学生、港澳台学生除外）。</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第六条  【基本申请条件】</w:t>
      </w:r>
      <w:r>
        <w:rPr>
          <w:rFonts w:hint="eastAsia" w:ascii="仿宋" w:hAnsi="仿宋" w:eastAsia="仿宋"/>
          <w:color w:val="auto"/>
          <w:sz w:val="28"/>
          <w:szCs w:val="28"/>
        </w:rPr>
        <w:t>申请研究生学业奖学金的，须满足以下基本申请条件：</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具有中华人民共和国国籍；</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热爱社会主义祖国，拥护中国共产党的领导；</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遵守宪法和法律，遵守研究生培养单位规章制度；</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诚实守信，道德品质优良；</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w:t>
      </w:r>
      <w:r>
        <w:rPr>
          <w:rFonts w:ascii="仿宋" w:hAnsi="仿宋" w:eastAsia="仿宋"/>
          <w:color w:val="auto"/>
          <w:sz w:val="28"/>
          <w:szCs w:val="28"/>
        </w:rPr>
        <w:t>学习成绩优异，科研能力显著，发展潜力突出；</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w:t>
      </w:r>
      <w:r>
        <w:rPr>
          <w:rFonts w:ascii="仿宋" w:hAnsi="仿宋" w:eastAsia="仿宋"/>
          <w:color w:val="auto"/>
          <w:sz w:val="28"/>
          <w:szCs w:val="28"/>
        </w:rPr>
        <w:t>积极参与科学研究和社会实践；</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（七）</w:t>
      </w:r>
      <w:r>
        <w:rPr>
          <w:rFonts w:ascii="仿宋" w:hAnsi="仿宋" w:eastAsia="仿宋"/>
          <w:color w:val="auto"/>
          <w:sz w:val="28"/>
          <w:szCs w:val="28"/>
        </w:rPr>
        <w:t>勤奋学习，积极上进；</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（八）</w:t>
      </w:r>
      <w:r>
        <w:rPr>
          <w:rFonts w:ascii="仿宋" w:hAnsi="仿宋" w:eastAsia="仿宋"/>
          <w:color w:val="auto"/>
          <w:sz w:val="28"/>
          <w:szCs w:val="28"/>
        </w:rPr>
        <w:t>纳入全国研究生招生计划的全日制研究生；</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（九）</w:t>
      </w:r>
      <w:r>
        <w:rPr>
          <w:rFonts w:ascii="仿宋" w:hAnsi="仿宋" w:eastAsia="仿宋"/>
          <w:color w:val="auto"/>
          <w:sz w:val="28"/>
          <w:szCs w:val="28"/>
        </w:rPr>
        <w:t>在规定学制期内的全日制在读研究生</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第七条  【不能申请的情形】</w:t>
      </w:r>
      <w:r>
        <w:rPr>
          <w:rFonts w:ascii="仿宋" w:hAnsi="仿宋" w:eastAsia="仿宋"/>
          <w:color w:val="auto"/>
          <w:sz w:val="28"/>
          <w:szCs w:val="28"/>
        </w:rPr>
        <w:t>有下列情况之一</w:t>
      </w:r>
      <w:r>
        <w:rPr>
          <w:rFonts w:hint="eastAsia" w:ascii="仿宋" w:hAnsi="仿宋" w:eastAsia="仿宋"/>
          <w:color w:val="auto"/>
          <w:sz w:val="28"/>
          <w:szCs w:val="28"/>
        </w:rPr>
        <w:t>的，</w:t>
      </w:r>
      <w:r>
        <w:rPr>
          <w:rFonts w:ascii="仿宋" w:hAnsi="仿宋" w:eastAsia="仿宋"/>
          <w:color w:val="auto"/>
          <w:sz w:val="28"/>
          <w:szCs w:val="28"/>
        </w:rPr>
        <w:t>不能申请：</w:t>
      </w:r>
    </w:p>
    <w:p>
      <w:pPr>
        <w:snapToGrid w:val="0"/>
        <w:spacing w:line="500" w:lineRule="exact"/>
        <w:ind w:firstLine="560" w:firstLineChars="200"/>
        <w:rPr>
          <w:rFonts w:ascii="宋体" w:hAnsi="宋体" w:eastAsia="宋体"/>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在学校规定时间内未完成注册手续；</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一年级研究生经查实在研究生入学考试中隐瞒事实或有虚假内容；</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评审年度受到学校通报批评以上（含通报批评）处理或处分；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二年级及以上研究生参评学年度课程考试有一门以上（含一门）不及格；</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w:t>
      </w:r>
      <w:r>
        <w:rPr>
          <w:rFonts w:ascii="仿宋" w:hAnsi="仿宋" w:eastAsia="仿宋"/>
          <w:color w:val="auto"/>
          <w:sz w:val="28"/>
          <w:szCs w:val="28"/>
        </w:rPr>
        <w:t>休学、保留学籍及经学校批准复学不满半年；</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w:t>
      </w:r>
      <w:r>
        <w:rPr>
          <w:rFonts w:ascii="仿宋" w:hAnsi="仿宋" w:eastAsia="仿宋"/>
          <w:color w:val="auto"/>
          <w:sz w:val="28"/>
          <w:szCs w:val="28"/>
        </w:rPr>
        <w:t>申请评奖的研究成果存在明显争议；</w:t>
      </w:r>
    </w:p>
    <w:p>
      <w:pPr>
        <w:snapToGrid w:val="0"/>
        <w:spacing w:line="500" w:lineRule="exact"/>
        <w:ind w:firstLine="560" w:firstLineChars="200"/>
        <w:rPr>
          <w:rFonts w:ascii="宋体" w:hAnsi="宋体" w:eastAsia="宋体"/>
          <w:color w:val="auto"/>
          <w:sz w:val="28"/>
          <w:szCs w:val="28"/>
        </w:rPr>
      </w:pPr>
      <w:r>
        <w:rPr>
          <w:rFonts w:hint="eastAsia" w:ascii="仿宋" w:hAnsi="仿宋" w:eastAsia="仿宋"/>
          <w:color w:val="auto"/>
          <w:sz w:val="28"/>
          <w:szCs w:val="28"/>
        </w:rPr>
        <w:t>（七）</w:t>
      </w:r>
      <w:r>
        <w:rPr>
          <w:rFonts w:ascii="仿宋" w:hAnsi="仿宋" w:eastAsia="仿宋"/>
          <w:color w:val="auto"/>
          <w:sz w:val="28"/>
          <w:szCs w:val="28"/>
        </w:rPr>
        <w:t>因各种原因退学。</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第八条  【一票否决的情形】</w:t>
      </w:r>
      <w:r>
        <w:rPr>
          <w:rFonts w:ascii="仿宋" w:hAnsi="仿宋" w:eastAsia="仿宋"/>
          <w:color w:val="auto"/>
          <w:sz w:val="28"/>
          <w:szCs w:val="28"/>
        </w:rPr>
        <w:t>对在思想品德方面存在问题的学生，应予以一票否决。</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第二章 </w:t>
      </w:r>
      <w:r>
        <w:rPr>
          <w:rFonts w:ascii="黑体" w:hAnsi="黑体" w:eastAsia="黑体"/>
          <w:b/>
          <w:bCs/>
          <w:color w:val="auto"/>
          <w:kern w:val="0"/>
          <w:sz w:val="30"/>
          <w:szCs w:val="30"/>
        </w:rPr>
        <w:t>评审组织与程序</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第九条  【评审组织架构】</w:t>
      </w:r>
      <w:r>
        <w:rPr>
          <w:rFonts w:hint="eastAsia" w:ascii="仿宋" w:hAnsi="仿宋" w:eastAsia="仿宋"/>
          <w:color w:val="auto"/>
          <w:sz w:val="28"/>
          <w:szCs w:val="28"/>
        </w:rPr>
        <w:t>学院在每年秋季学期学生注册报到</w:t>
      </w:r>
      <w:r>
        <w:rPr>
          <w:rFonts w:ascii="仿宋" w:hAnsi="仿宋" w:eastAsia="仿宋"/>
          <w:color w:val="auto"/>
          <w:sz w:val="28"/>
          <w:szCs w:val="28"/>
        </w:rPr>
        <w:t>后，组建学业奖学金评审委员会、参评材料初评小组、班级奖学金评议小组。负责学院研究生学业奖学金的管理、评审及上报工作，受理申诉等事宜。</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第十条  【学院</w:t>
      </w:r>
      <w:r>
        <w:rPr>
          <w:rFonts w:ascii="仿宋" w:hAnsi="仿宋" w:eastAsia="仿宋"/>
          <w:b/>
          <w:bCs/>
          <w:color w:val="auto"/>
          <w:sz w:val="28"/>
          <w:szCs w:val="28"/>
        </w:rPr>
        <w:t>学业奖学金评审委员会架构</w:t>
      </w:r>
      <w:r>
        <w:rPr>
          <w:rFonts w:hint="eastAsia" w:ascii="仿宋" w:hAnsi="仿宋" w:eastAsia="仿宋"/>
          <w:b/>
          <w:bCs/>
          <w:color w:val="auto"/>
          <w:sz w:val="28"/>
          <w:szCs w:val="28"/>
        </w:rPr>
        <w:t>】</w:t>
      </w:r>
      <w:r>
        <w:rPr>
          <w:rFonts w:ascii="仿宋" w:hAnsi="仿宋" w:eastAsia="仿宋"/>
          <w:color w:val="auto"/>
          <w:sz w:val="28"/>
          <w:szCs w:val="28"/>
        </w:rPr>
        <w:t>学院学业奖学金评审委员会</w:t>
      </w:r>
      <w:r>
        <w:rPr>
          <w:rFonts w:hint="eastAsia" w:ascii="仿宋" w:hAnsi="仿宋" w:eastAsia="仿宋"/>
          <w:color w:val="auto"/>
          <w:sz w:val="28"/>
          <w:szCs w:val="28"/>
        </w:rPr>
        <w:t>由</w:t>
      </w:r>
      <w:r>
        <w:rPr>
          <w:rFonts w:ascii="仿宋" w:hAnsi="仿宋" w:eastAsia="仿宋"/>
          <w:color w:val="auto"/>
          <w:sz w:val="28"/>
          <w:szCs w:val="28"/>
        </w:rPr>
        <w:t>学院党委书记</w:t>
      </w:r>
      <w:r>
        <w:rPr>
          <w:rFonts w:hint="eastAsia" w:ascii="仿宋" w:hAnsi="仿宋" w:eastAsia="仿宋"/>
          <w:color w:val="auto"/>
          <w:sz w:val="28"/>
          <w:szCs w:val="28"/>
        </w:rPr>
        <w:t>、</w:t>
      </w:r>
      <w:r>
        <w:rPr>
          <w:rFonts w:ascii="仿宋" w:hAnsi="仿宋" w:eastAsia="仿宋"/>
          <w:color w:val="auto"/>
          <w:sz w:val="28"/>
          <w:szCs w:val="28"/>
        </w:rPr>
        <w:t>学院党政领导、研究生辅导员、研究生教务员、导师代表、研究生代表等</w:t>
      </w:r>
      <w:r>
        <w:rPr>
          <w:rFonts w:hint="eastAsia" w:ascii="仿宋" w:hAnsi="仿宋" w:eastAsia="仿宋"/>
          <w:color w:val="auto"/>
          <w:sz w:val="28"/>
          <w:szCs w:val="28"/>
        </w:rPr>
        <w:t>组成，其中，</w:t>
      </w:r>
      <w:r>
        <w:rPr>
          <w:rFonts w:ascii="仿宋" w:hAnsi="仿宋" w:eastAsia="仿宋"/>
          <w:color w:val="auto"/>
          <w:sz w:val="28"/>
          <w:szCs w:val="28"/>
        </w:rPr>
        <w:t>学院党委书记</w:t>
      </w:r>
      <w:r>
        <w:rPr>
          <w:rFonts w:hint="eastAsia" w:ascii="仿宋" w:hAnsi="仿宋" w:eastAsia="仿宋"/>
          <w:color w:val="auto"/>
          <w:sz w:val="28"/>
          <w:szCs w:val="28"/>
        </w:rPr>
        <w:t>为组长。</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第十一条  【</w:t>
      </w:r>
      <w:r>
        <w:rPr>
          <w:rFonts w:ascii="仿宋" w:hAnsi="仿宋" w:eastAsia="仿宋"/>
          <w:b/>
          <w:bCs/>
          <w:color w:val="auto"/>
          <w:sz w:val="28"/>
          <w:szCs w:val="28"/>
        </w:rPr>
        <w:t>学院参评材料初评小组架构</w:t>
      </w:r>
      <w:r>
        <w:rPr>
          <w:rFonts w:hint="eastAsia" w:ascii="仿宋" w:hAnsi="仿宋" w:eastAsia="仿宋"/>
          <w:b/>
          <w:bCs/>
          <w:color w:val="auto"/>
          <w:sz w:val="28"/>
          <w:szCs w:val="28"/>
        </w:rPr>
        <w:t>】</w:t>
      </w:r>
      <w:r>
        <w:rPr>
          <w:rFonts w:ascii="仿宋" w:hAnsi="仿宋" w:eastAsia="仿宋"/>
          <w:color w:val="auto"/>
          <w:sz w:val="28"/>
          <w:szCs w:val="28"/>
        </w:rPr>
        <w:t>学院参评材料初评小组</w:t>
      </w:r>
      <w:r>
        <w:rPr>
          <w:rFonts w:hint="eastAsia" w:ascii="仿宋" w:hAnsi="仿宋" w:eastAsia="仿宋"/>
          <w:color w:val="auto"/>
          <w:sz w:val="28"/>
          <w:szCs w:val="28"/>
        </w:rPr>
        <w:t>由</w:t>
      </w:r>
      <w:r>
        <w:rPr>
          <w:rFonts w:ascii="仿宋" w:hAnsi="仿宋" w:eastAsia="仿宋"/>
          <w:color w:val="auto"/>
          <w:sz w:val="28"/>
          <w:szCs w:val="28"/>
        </w:rPr>
        <w:t>学院党委副书记</w:t>
      </w:r>
      <w:r>
        <w:rPr>
          <w:rFonts w:hint="eastAsia" w:ascii="仿宋" w:hAnsi="仿宋" w:eastAsia="仿宋"/>
          <w:color w:val="auto"/>
          <w:sz w:val="28"/>
          <w:szCs w:val="28"/>
        </w:rPr>
        <w:t>、</w:t>
      </w:r>
      <w:r>
        <w:rPr>
          <w:rFonts w:ascii="仿宋" w:hAnsi="仿宋" w:eastAsia="仿宋"/>
          <w:color w:val="auto"/>
          <w:sz w:val="28"/>
          <w:szCs w:val="28"/>
        </w:rPr>
        <w:t>研究生各班班主任、负责研究生学习工作的辅导员、团委书记、学生干部代表</w:t>
      </w:r>
      <w:r>
        <w:rPr>
          <w:rFonts w:hint="eastAsia" w:ascii="仿宋" w:hAnsi="仿宋" w:eastAsia="仿宋"/>
          <w:color w:val="auto"/>
          <w:sz w:val="28"/>
          <w:szCs w:val="28"/>
        </w:rPr>
        <w:t>等组成，其中，</w:t>
      </w:r>
      <w:r>
        <w:rPr>
          <w:rFonts w:ascii="仿宋" w:hAnsi="仿宋" w:eastAsia="仿宋"/>
          <w:color w:val="auto"/>
          <w:sz w:val="28"/>
          <w:szCs w:val="28"/>
        </w:rPr>
        <w:t>学院党委副书记</w:t>
      </w:r>
      <w:r>
        <w:rPr>
          <w:rFonts w:hint="eastAsia" w:ascii="仿宋" w:hAnsi="仿宋" w:eastAsia="仿宋"/>
          <w:color w:val="auto"/>
          <w:sz w:val="28"/>
          <w:szCs w:val="28"/>
        </w:rPr>
        <w:t>为组长。</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第十二条  【</w:t>
      </w:r>
      <w:r>
        <w:rPr>
          <w:rFonts w:ascii="仿宋" w:hAnsi="仿宋" w:eastAsia="仿宋"/>
          <w:b/>
          <w:bCs/>
          <w:color w:val="auto"/>
          <w:sz w:val="28"/>
          <w:szCs w:val="28"/>
        </w:rPr>
        <w:t>班级学业奖学金评议小组架构</w:t>
      </w:r>
      <w:r>
        <w:rPr>
          <w:rFonts w:hint="eastAsia" w:ascii="仿宋" w:hAnsi="仿宋" w:eastAsia="仿宋"/>
          <w:b/>
          <w:bCs/>
          <w:color w:val="auto"/>
          <w:sz w:val="28"/>
          <w:szCs w:val="28"/>
        </w:rPr>
        <w:t>】</w:t>
      </w:r>
      <w:r>
        <w:rPr>
          <w:rFonts w:ascii="仿宋" w:hAnsi="仿宋" w:eastAsia="仿宋"/>
          <w:color w:val="auto"/>
          <w:sz w:val="28"/>
          <w:szCs w:val="28"/>
        </w:rPr>
        <w:t>班级学业奖学金评议小组</w:t>
      </w:r>
      <w:r>
        <w:rPr>
          <w:rFonts w:hint="eastAsia" w:ascii="仿宋" w:hAnsi="仿宋" w:eastAsia="仿宋"/>
          <w:color w:val="auto"/>
          <w:sz w:val="28"/>
          <w:szCs w:val="28"/>
        </w:rPr>
        <w:t>由</w:t>
      </w:r>
      <w:r>
        <w:rPr>
          <w:rFonts w:ascii="仿宋" w:hAnsi="仿宋" w:eastAsia="仿宋"/>
          <w:color w:val="auto"/>
          <w:sz w:val="28"/>
          <w:szCs w:val="28"/>
        </w:rPr>
        <w:t>班长</w:t>
      </w:r>
      <w:r>
        <w:rPr>
          <w:rFonts w:hint="eastAsia" w:ascii="仿宋" w:hAnsi="仿宋" w:eastAsia="仿宋"/>
          <w:color w:val="auto"/>
          <w:sz w:val="28"/>
          <w:szCs w:val="28"/>
        </w:rPr>
        <w:t>、</w:t>
      </w:r>
      <w:r>
        <w:rPr>
          <w:rFonts w:ascii="仿宋" w:hAnsi="仿宋" w:eastAsia="仿宋"/>
          <w:color w:val="auto"/>
          <w:sz w:val="28"/>
          <w:szCs w:val="28"/>
        </w:rPr>
        <w:t>学习委员、学生代表（男</w:t>
      </w:r>
      <w:r>
        <w:rPr>
          <w:rFonts w:hint="eastAsia" w:ascii="仿宋" w:hAnsi="仿宋" w:eastAsia="仿宋"/>
          <w:color w:val="auto"/>
          <w:sz w:val="28"/>
          <w:szCs w:val="28"/>
        </w:rPr>
        <w:t>、</w:t>
      </w:r>
      <w:r>
        <w:rPr>
          <w:rFonts w:ascii="仿宋" w:hAnsi="仿宋" w:eastAsia="仿宋"/>
          <w:color w:val="auto"/>
          <w:sz w:val="28"/>
          <w:szCs w:val="28"/>
        </w:rPr>
        <w:t>女</w:t>
      </w:r>
      <w:r>
        <w:rPr>
          <w:rFonts w:hint="eastAsia" w:ascii="仿宋" w:hAnsi="仿宋" w:eastAsia="仿宋"/>
          <w:color w:val="auto"/>
          <w:sz w:val="28"/>
          <w:szCs w:val="28"/>
        </w:rPr>
        <w:t>代表</w:t>
      </w:r>
      <w:r>
        <w:rPr>
          <w:rFonts w:ascii="仿宋" w:hAnsi="仿宋" w:eastAsia="仿宋"/>
          <w:color w:val="auto"/>
          <w:sz w:val="28"/>
          <w:szCs w:val="28"/>
        </w:rPr>
        <w:t>各至少一名）</w:t>
      </w:r>
      <w:r>
        <w:rPr>
          <w:rFonts w:hint="eastAsia" w:ascii="仿宋" w:hAnsi="仿宋" w:eastAsia="仿宋"/>
          <w:color w:val="auto"/>
          <w:sz w:val="28"/>
          <w:szCs w:val="28"/>
        </w:rPr>
        <w:t>，其中，班长为组长。</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第十三条  【评审程序】</w:t>
      </w:r>
      <w:r>
        <w:rPr>
          <w:rFonts w:ascii="仿宋" w:hAnsi="仿宋" w:eastAsia="仿宋"/>
          <w:color w:val="auto"/>
          <w:sz w:val="28"/>
          <w:szCs w:val="28"/>
        </w:rPr>
        <w:t>研究生学业奖学金的评审</w:t>
      </w:r>
      <w:r>
        <w:rPr>
          <w:rFonts w:hint="eastAsia" w:ascii="仿宋" w:hAnsi="仿宋" w:eastAsia="仿宋"/>
          <w:color w:val="auto"/>
          <w:sz w:val="28"/>
          <w:szCs w:val="28"/>
        </w:rPr>
        <w:t>按照以下</w:t>
      </w:r>
      <w:r>
        <w:rPr>
          <w:rFonts w:ascii="仿宋" w:hAnsi="仿宋" w:eastAsia="仿宋"/>
          <w:color w:val="auto"/>
          <w:sz w:val="28"/>
          <w:szCs w:val="28"/>
        </w:rPr>
        <w:t>程序</w:t>
      </w:r>
      <w:r>
        <w:rPr>
          <w:rFonts w:hint="eastAsia" w:ascii="仿宋" w:hAnsi="仿宋" w:eastAsia="仿宋"/>
          <w:color w:val="auto"/>
          <w:sz w:val="28"/>
          <w:szCs w:val="28"/>
        </w:rPr>
        <w:t>依次进行</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（一）个人申请。</w:t>
      </w:r>
      <w:r>
        <w:rPr>
          <w:rFonts w:ascii="仿宋" w:hAnsi="仿宋" w:eastAsia="仿宋"/>
          <w:color w:val="auto"/>
          <w:sz w:val="28"/>
          <w:szCs w:val="28"/>
        </w:rPr>
        <w:t>研究生本人在正常学制年限内，如实填写</w:t>
      </w:r>
      <w:r>
        <w:rPr>
          <w:rFonts w:hint="eastAsia" w:ascii="仿宋" w:hAnsi="仿宋" w:eastAsia="仿宋"/>
          <w:color w:val="auto"/>
          <w:sz w:val="28"/>
          <w:szCs w:val="28"/>
        </w:rPr>
        <w:t>并提交</w:t>
      </w:r>
      <w:r>
        <w:rPr>
          <w:rFonts w:ascii="仿宋" w:hAnsi="仿宋" w:eastAsia="仿宋"/>
          <w:color w:val="auto"/>
          <w:sz w:val="28"/>
          <w:szCs w:val="28"/>
        </w:rPr>
        <w:t>《华南农业大学研究生学业奖学金评审表》及相关</w:t>
      </w:r>
      <w:r>
        <w:rPr>
          <w:rFonts w:hint="eastAsia" w:ascii="仿宋" w:hAnsi="仿宋" w:eastAsia="仿宋"/>
          <w:color w:val="auto"/>
          <w:sz w:val="28"/>
          <w:szCs w:val="28"/>
        </w:rPr>
        <w:t>材料</w:t>
      </w:r>
      <w:r>
        <w:rPr>
          <w:rFonts w:ascii="仿宋" w:hAnsi="仿宋" w:eastAsia="仿宋"/>
          <w:color w:val="auto"/>
          <w:sz w:val="28"/>
          <w:szCs w:val="28"/>
        </w:rPr>
        <w:t>，提出申请。未按时提交申请的，视为自动放弃申请学业奖学金。</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（二）班级审核。</w:t>
      </w:r>
      <w:r>
        <w:rPr>
          <w:rFonts w:ascii="仿宋" w:hAnsi="仿宋" w:eastAsia="仿宋"/>
          <w:color w:val="auto"/>
          <w:sz w:val="28"/>
          <w:szCs w:val="28"/>
        </w:rPr>
        <w:t>班级学业奖学金评议小组组织互评、审核相关材料，统计成绩，并将结果进行不少于</w:t>
      </w:r>
      <w:r>
        <w:rPr>
          <w:rFonts w:hint="eastAsia" w:ascii="仿宋" w:hAnsi="仿宋" w:eastAsia="仿宋"/>
          <w:color w:val="auto"/>
          <w:sz w:val="28"/>
          <w:szCs w:val="28"/>
        </w:rPr>
        <w:t>1</w:t>
      </w:r>
      <w:r>
        <w:rPr>
          <w:rFonts w:ascii="仿宋" w:hAnsi="仿宋" w:eastAsia="仿宋"/>
          <w:color w:val="auto"/>
          <w:sz w:val="28"/>
          <w:szCs w:val="28"/>
        </w:rPr>
        <w:t>日的公示</w:t>
      </w:r>
      <w:r>
        <w:rPr>
          <w:rFonts w:hint="eastAsia" w:ascii="仿宋" w:hAnsi="仿宋" w:eastAsia="仿宋"/>
          <w:color w:val="auto"/>
          <w:sz w:val="28"/>
          <w:szCs w:val="28"/>
        </w:rPr>
        <w:t>，公示结束后，</w:t>
      </w:r>
      <w:r>
        <w:rPr>
          <w:rFonts w:ascii="仿宋" w:hAnsi="仿宋" w:eastAsia="仿宋"/>
          <w:color w:val="auto"/>
          <w:sz w:val="28"/>
          <w:szCs w:val="28"/>
        </w:rPr>
        <w:t>班级学业奖学金评议小组</w:t>
      </w:r>
      <w:r>
        <w:rPr>
          <w:rFonts w:hint="eastAsia" w:ascii="仿宋" w:hAnsi="仿宋" w:eastAsia="仿宋"/>
          <w:color w:val="auto"/>
          <w:sz w:val="28"/>
          <w:szCs w:val="28"/>
        </w:rPr>
        <w:t>将相关材料上报学院</w:t>
      </w:r>
      <w:r>
        <w:rPr>
          <w:rFonts w:ascii="仿宋" w:hAnsi="仿宋" w:eastAsia="仿宋"/>
          <w:color w:val="auto"/>
          <w:sz w:val="28"/>
          <w:szCs w:val="28"/>
        </w:rPr>
        <w:t>参评材料初评小组</w:t>
      </w:r>
      <w:r>
        <w:rPr>
          <w:rFonts w:hint="eastAsia" w:ascii="仿宋" w:hAnsi="仿宋" w:eastAsia="仿宋"/>
          <w:color w:val="auto"/>
          <w:sz w:val="28"/>
          <w:szCs w:val="28"/>
        </w:rPr>
        <w:t>，材料提交完毕后，研究生本人不得对加分项目进行补充申报</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（三）学院初评。</w:t>
      </w:r>
      <w:r>
        <w:rPr>
          <w:rFonts w:ascii="仿宋" w:hAnsi="仿宋" w:eastAsia="仿宋"/>
          <w:color w:val="auto"/>
          <w:sz w:val="28"/>
          <w:szCs w:val="28"/>
        </w:rPr>
        <w:t>按照</w:t>
      </w:r>
      <w:r>
        <w:rPr>
          <w:rFonts w:hint="eastAsia" w:ascii="仿宋" w:hAnsi="仿宋" w:eastAsia="仿宋"/>
          <w:color w:val="auto"/>
          <w:sz w:val="28"/>
          <w:szCs w:val="28"/>
        </w:rPr>
        <w:t>公平公正公开</w:t>
      </w:r>
      <w:r>
        <w:rPr>
          <w:rFonts w:ascii="仿宋" w:hAnsi="仿宋" w:eastAsia="仿宋"/>
          <w:color w:val="auto"/>
          <w:sz w:val="28"/>
          <w:szCs w:val="28"/>
        </w:rPr>
        <w:t>的原则，由学院参评材料初评小组依据本</w:t>
      </w:r>
      <w:r>
        <w:rPr>
          <w:rFonts w:hint="eastAsia" w:ascii="仿宋" w:hAnsi="仿宋" w:eastAsia="仿宋"/>
          <w:color w:val="auto"/>
          <w:sz w:val="28"/>
          <w:szCs w:val="28"/>
        </w:rPr>
        <w:t>实施细则</w:t>
      </w:r>
      <w:r>
        <w:rPr>
          <w:rFonts w:ascii="仿宋" w:hAnsi="仿宋" w:eastAsia="仿宋"/>
          <w:color w:val="auto"/>
          <w:sz w:val="28"/>
          <w:szCs w:val="28"/>
        </w:rPr>
        <w:t>，对申请学业奖学金研究生材料进行初评。初评结果提交学院学业奖学金评审委员会审核后，对评审结果进行不少于</w:t>
      </w:r>
      <w:r>
        <w:rPr>
          <w:rFonts w:hint="eastAsia" w:ascii="仿宋" w:hAnsi="仿宋" w:eastAsia="仿宋"/>
          <w:color w:val="auto"/>
          <w:sz w:val="28"/>
          <w:szCs w:val="28"/>
        </w:rPr>
        <w:t>3</w:t>
      </w:r>
      <w:r>
        <w:rPr>
          <w:rFonts w:ascii="仿宋" w:hAnsi="仿宋" w:eastAsia="仿宋"/>
          <w:color w:val="auto"/>
          <w:sz w:val="28"/>
          <w:szCs w:val="28"/>
        </w:rPr>
        <w:t>个工作日的公示，公示无异议后将相关材料和汇总表上报学校学业奖学金评审领导小组。</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第十四条  【申诉处理】</w:t>
      </w:r>
      <w:r>
        <w:rPr>
          <w:rFonts w:ascii="仿宋" w:hAnsi="仿宋" w:eastAsia="仿宋"/>
          <w:color w:val="auto"/>
          <w:sz w:val="28"/>
          <w:szCs w:val="28"/>
        </w:rPr>
        <w:t>在学院公示阶段，研究生对学业奖学金评审结果有异议的，可</w:t>
      </w:r>
      <w:r>
        <w:rPr>
          <w:rFonts w:hint="eastAsia" w:ascii="仿宋" w:hAnsi="仿宋" w:eastAsia="仿宋"/>
          <w:color w:val="auto"/>
          <w:sz w:val="28"/>
          <w:szCs w:val="28"/>
        </w:rPr>
        <w:t>以</w:t>
      </w:r>
      <w:r>
        <w:rPr>
          <w:rFonts w:ascii="仿宋" w:hAnsi="仿宋" w:eastAsia="仿宋"/>
          <w:color w:val="auto"/>
          <w:sz w:val="28"/>
          <w:szCs w:val="28"/>
        </w:rPr>
        <w:t>在公示期间向学院学业奖学金评审委员会提出申诉。</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在学校公示阶段</w:t>
      </w:r>
      <w:r>
        <w:rPr>
          <w:rFonts w:hint="eastAsia" w:ascii="仿宋" w:hAnsi="仿宋" w:eastAsia="仿宋"/>
          <w:color w:val="auto"/>
          <w:sz w:val="28"/>
          <w:szCs w:val="28"/>
        </w:rPr>
        <w:t>，</w:t>
      </w:r>
      <w:r>
        <w:rPr>
          <w:rFonts w:ascii="仿宋" w:hAnsi="仿宋" w:eastAsia="仿宋"/>
          <w:color w:val="auto"/>
          <w:sz w:val="28"/>
          <w:szCs w:val="28"/>
        </w:rPr>
        <w:t>研究生对学业奖学金评审结果有异议的，可</w:t>
      </w:r>
      <w:r>
        <w:rPr>
          <w:rFonts w:hint="eastAsia" w:ascii="仿宋" w:hAnsi="仿宋" w:eastAsia="仿宋"/>
          <w:color w:val="auto"/>
          <w:sz w:val="28"/>
          <w:szCs w:val="28"/>
        </w:rPr>
        <w:t>以</w:t>
      </w:r>
      <w:r>
        <w:rPr>
          <w:rFonts w:ascii="仿宋" w:hAnsi="仿宋" w:eastAsia="仿宋"/>
          <w:color w:val="auto"/>
          <w:sz w:val="28"/>
          <w:szCs w:val="28"/>
        </w:rPr>
        <w:t>在公示期间提请学校学业奖学金评审领导小组裁决。</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 xml:space="preserve">第三章 </w:t>
      </w:r>
      <w:r>
        <w:rPr>
          <w:rFonts w:ascii="黑体" w:hAnsi="黑体" w:eastAsia="黑体"/>
          <w:b/>
          <w:bCs/>
          <w:color w:val="auto"/>
          <w:kern w:val="0"/>
          <w:sz w:val="30"/>
          <w:szCs w:val="30"/>
        </w:rPr>
        <w:t>评选要求及注意事项</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第十五条  【参评年度的界定】</w:t>
      </w:r>
      <w:r>
        <w:rPr>
          <w:rFonts w:hint="eastAsia" w:ascii="仿宋" w:hAnsi="仿宋" w:eastAsia="仿宋"/>
          <w:color w:val="auto"/>
          <w:sz w:val="28"/>
          <w:szCs w:val="28"/>
        </w:rPr>
        <w:t>参评年度，是指参评年上一年9月1日至参评年8</w:t>
      </w:r>
      <w:r>
        <w:rPr>
          <w:rFonts w:ascii="仿宋" w:hAnsi="仿宋" w:eastAsia="仿宋"/>
          <w:color w:val="auto"/>
          <w:sz w:val="28"/>
          <w:szCs w:val="28"/>
        </w:rPr>
        <w:t>月</w:t>
      </w:r>
      <w:r>
        <w:rPr>
          <w:rFonts w:hint="eastAsia" w:ascii="仿宋" w:hAnsi="仿宋" w:eastAsia="仿宋"/>
          <w:color w:val="auto"/>
          <w:sz w:val="28"/>
          <w:szCs w:val="28"/>
        </w:rPr>
        <w:t>31</w:t>
      </w:r>
      <w:r>
        <w:rPr>
          <w:rFonts w:ascii="仿宋" w:hAnsi="仿宋" w:eastAsia="仿宋"/>
          <w:color w:val="auto"/>
          <w:sz w:val="28"/>
          <w:szCs w:val="28"/>
        </w:rPr>
        <w:t>日</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硕士新生申请学业奖学金的参评成果应为本科期间至参评年8月31日前所获得的成果。</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研究生老生申请学业奖学金的参评成果应为参评年度内获得的成果</w:t>
      </w:r>
      <w:r>
        <w:rPr>
          <w:rFonts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第十六条  【参评研究成果的署名及使用】</w:t>
      </w:r>
      <w:r>
        <w:rPr>
          <w:rFonts w:ascii="仿宋" w:hAnsi="仿宋" w:eastAsia="仿宋"/>
          <w:color w:val="auto"/>
          <w:sz w:val="28"/>
          <w:szCs w:val="28"/>
        </w:rPr>
        <w:t>研究生老生参评研究成果必须以“华南农业大学”</w:t>
      </w:r>
      <w:r>
        <w:rPr>
          <w:rFonts w:hint="eastAsia" w:ascii="仿宋" w:hAnsi="仿宋" w:eastAsia="仿宋"/>
          <w:color w:val="auto"/>
          <w:sz w:val="28"/>
          <w:szCs w:val="28"/>
        </w:rPr>
        <w:t>或“华南农业大学人文与法学学院”</w:t>
      </w:r>
      <w:r>
        <w:rPr>
          <w:rFonts w:ascii="仿宋" w:hAnsi="仿宋" w:eastAsia="仿宋"/>
          <w:color w:val="auto"/>
          <w:sz w:val="28"/>
          <w:szCs w:val="28"/>
        </w:rPr>
        <w:t>为第一署名单位。</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参评研究成果须提供导师对该研究成果是否符合学术规范、是否遵守学术道德的鉴定意见。</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参评</w:t>
      </w:r>
      <w:r>
        <w:rPr>
          <w:rFonts w:ascii="仿宋" w:hAnsi="仿宋" w:eastAsia="仿宋"/>
          <w:color w:val="auto"/>
          <w:sz w:val="28"/>
          <w:szCs w:val="28"/>
        </w:rPr>
        <w:t>研究成果不得重复使用。</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第十七条  【荣誉级别的分类】</w:t>
      </w:r>
      <w:r>
        <w:rPr>
          <w:rFonts w:ascii="仿宋" w:hAnsi="仿宋" w:eastAsia="仿宋"/>
          <w:color w:val="auto"/>
          <w:sz w:val="28"/>
          <w:szCs w:val="28"/>
        </w:rPr>
        <w:t>所获荣誉的级别分为国家级、省级、市(校)级、院级</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第十八条  【国家级荣誉】</w:t>
      </w:r>
      <w:r>
        <w:rPr>
          <w:rFonts w:ascii="仿宋" w:hAnsi="仿宋" w:eastAsia="仿宋"/>
          <w:color w:val="auto"/>
          <w:sz w:val="28"/>
          <w:szCs w:val="28"/>
        </w:rPr>
        <w:t>国家级荣誉由国家部委及以上单位表彰并加盖相关部门公章</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第十九条  【省级荣誉】</w:t>
      </w:r>
      <w:r>
        <w:rPr>
          <w:rFonts w:ascii="仿宋" w:hAnsi="仿宋" w:eastAsia="仿宋"/>
          <w:color w:val="auto"/>
          <w:sz w:val="28"/>
          <w:szCs w:val="28"/>
        </w:rPr>
        <w:t>省级荣誉由省(自治区、直辖市)政府及厅(局、委、办)、省级事业单位表彰并加盖相关部门公章</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第二十条  【市级荣誉】</w:t>
      </w:r>
      <w:r>
        <w:rPr>
          <w:rFonts w:ascii="仿宋" w:hAnsi="仿宋" w:eastAsia="仿宋"/>
          <w:color w:val="auto"/>
          <w:sz w:val="28"/>
          <w:szCs w:val="28"/>
        </w:rPr>
        <w:t>市级荣誉由市政府及局(委、办)、市级事业单位表彰并加盖相关部门公章</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行业内、系统内表彰的，按市级荣誉认定</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第二十一条  【校级荣誉】</w:t>
      </w:r>
      <w:r>
        <w:rPr>
          <w:rFonts w:ascii="仿宋" w:hAnsi="仿宋" w:eastAsia="仿宋"/>
          <w:color w:val="auto"/>
          <w:sz w:val="28"/>
          <w:szCs w:val="28"/>
        </w:rPr>
        <w:t>校级荣誉由学校各部处表彰并加盖学校行政章、学校党委章、各部处公章或学校团委章</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校级组织或院级组织经学校相关部处批准、举行的全校及以上范围的比赛所表彰的，除有特殊说明外，按校级荣誉认定</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第二十二条  【院级荣誉】</w:t>
      </w:r>
      <w:r>
        <w:rPr>
          <w:rFonts w:ascii="仿宋" w:hAnsi="仿宋" w:eastAsia="仿宋"/>
          <w:color w:val="auto"/>
          <w:sz w:val="28"/>
          <w:szCs w:val="28"/>
        </w:rPr>
        <w:t>院级荣誉由学院表彰并加盖学院行政章、学院党委章或学院团委章</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校级组织内部表彰、院级组织表彰和已在民政部门登记的社会组织、机构表彰的，按院级荣誉认定。</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第二十三条  【荣誉级别的其他认定规则】</w:t>
      </w:r>
      <w:r>
        <w:rPr>
          <w:rFonts w:ascii="仿宋" w:hAnsi="仿宋" w:eastAsia="仿宋"/>
          <w:color w:val="auto"/>
          <w:sz w:val="28"/>
          <w:szCs w:val="28"/>
        </w:rPr>
        <w:t>各级荣誉应有证书证明，并有明确的落款单位、盖章和日期。</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证书缺盖相应级别公章，</w:t>
      </w:r>
      <w:r>
        <w:rPr>
          <w:rFonts w:hint="eastAsia" w:ascii="仿宋" w:hAnsi="仿宋" w:eastAsia="仿宋"/>
          <w:color w:val="auto"/>
          <w:sz w:val="28"/>
          <w:szCs w:val="28"/>
        </w:rPr>
        <w:t>但</w:t>
      </w:r>
      <w:r>
        <w:rPr>
          <w:rFonts w:ascii="仿宋" w:hAnsi="仿宋" w:eastAsia="仿宋"/>
          <w:color w:val="auto"/>
          <w:sz w:val="28"/>
          <w:szCs w:val="28"/>
        </w:rPr>
        <w:t>经查实</w:t>
      </w:r>
      <w:r>
        <w:rPr>
          <w:rFonts w:hint="eastAsia" w:ascii="仿宋" w:hAnsi="仿宋" w:eastAsia="仿宋"/>
          <w:color w:val="auto"/>
          <w:sz w:val="28"/>
          <w:szCs w:val="28"/>
        </w:rPr>
        <w:t>参评者获得相应级别荣誉</w:t>
      </w:r>
      <w:r>
        <w:rPr>
          <w:rFonts w:ascii="仿宋" w:hAnsi="仿宋" w:eastAsia="仿宋"/>
          <w:color w:val="auto"/>
          <w:sz w:val="28"/>
          <w:szCs w:val="28"/>
        </w:rPr>
        <w:t>确有其事的，降一级认定</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企业内部及未登记的社会组织、机构表彰，不予认定。</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因</w:t>
      </w:r>
      <w:r>
        <w:rPr>
          <w:rFonts w:hint="eastAsia" w:ascii="仿宋" w:hAnsi="仿宋" w:eastAsia="仿宋"/>
          <w:color w:val="auto"/>
          <w:sz w:val="28"/>
          <w:szCs w:val="28"/>
        </w:rPr>
        <w:t>参加</w:t>
      </w:r>
      <w:r>
        <w:rPr>
          <w:rFonts w:ascii="仿宋" w:hAnsi="仿宋" w:eastAsia="仿宋"/>
          <w:color w:val="auto"/>
          <w:sz w:val="28"/>
          <w:szCs w:val="28"/>
        </w:rPr>
        <w:t>同一活动</w:t>
      </w:r>
      <w:r>
        <w:rPr>
          <w:rFonts w:hint="eastAsia" w:ascii="仿宋" w:hAnsi="仿宋" w:eastAsia="仿宋"/>
          <w:color w:val="auto"/>
          <w:sz w:val="28"/>
          <w:szCs w:val="28"/>
        </w:rPr>
        <w:t>、</w:t>
      </w:r>
      <w:r>
        <w:rPr>
          <w:rFonts w:ascii="仿宋" w:hAnsi="仿宋" w:eastAsia="仿宋"/>
          <w:color w:val="auto"/>
          <w:sz w:val="28"/>
          <w:szCs w:val="28"/>
        </w:rPr>
        <w:t>比赛</w:t>
      </w:r>
      <w:r>
        <w:rPr>
          <w:rFonts w:hint="eastAsia" w:ascii="仿宋" w:hAnsi="仿宋" w:eastAsia="仿宋"/>
          <w:color w:val="auto"/>
          <w:sz w:val="28"/>
          <w:szCs w:val="28"/>
        </w:rPr>
        <w:t>、</w:t>
      </w:r>
      <w:r>
        <w:rPr>
          <w:rFonts w:ascii="仿宋" w:hAnsi="仿宋" w:eastAsia="仿宋"/>
          <w:color w:val="auto"/>
          <w:sz w:val="28"/>
          <w:szCs w:val="28"/>
        </w:rPr>
        <w:t>项目</w:t>
      </w:r>
      <w:r>
        <w:rPr>
          <w:rFonts w:hint="eastAsia" w:ascii="仿宋" w:hAnsi="仿宋" w:eastAsia="仿宋"/>
          <w:color w:val="auto"/>
          <w:sz w:val="28"/>
          <w:szCs w:val="28"/>
        </w:rPr>
        <w:t>，因同一研究成果，或</w:t>
      </w:r>
      <w:r>
        <w:rPr>
          <w:rFonts w:ascii="仿宋" w:hAnsi="仿宋" w:eastAsia="仿宋"/>
          <w:color w:val="auto"/>
          <w:sz w:val="28"/>
          <w:szCs w:val="28"/>
        </w:rPr>
        <w:t>在同一评优周期</w:t>
      </w:r>
      <w:r>
        <w:rPr>
          <w:rFonts w:hint="eastAsia" w:ascii="仿宋" w:hAnsi="仿宋" w:eastAsia="仿宋"/>
          <w:color w:val="auto"/>
          <w:sz w:val="28"/>
          <w:szCs w:val="28"/>
        </w:rPr>
        <w:t>内因参与</w:t>
      </w:r>
      <w:r>
        <w:rPr>
          <w:rFonts w:ascii="仿宋" w:hAnsi="仿宋" w:eastAsia="仿宋"/>
          <w:color w:val="auto"/>
          <w:sz w:val="28"/>
          <w:szCs w:val="28"/>
        </w:rPr>
        <w:t>社会工作</w:t>
      </w:r>
      <w:r>
        <w:rPr>
          <w:rFonts w:hint="eastAsia" w:ascii="仿宋" w:hAnsi="仿宋" w:eastAsia="仿宋"/>
          <w:color w:val="auto"/>
          <w:sz w:val="28"/>
          <w:szCs w:val="28"/>
        </w:rPr>
        <w:t>，</w:t>
      </w:r>
      <w:r>
        <w:rPr>
          <w:rFonts w:ascii="仿宋" w:hAnsi="仿宋" w:eastAsia="仿宋"/>
          <w:color w:val="auto"/>
          <w:sz w:val="28"/>
          <w:szCs w:val="28"/>
        </w:rPr>
        <w:t>获得</w:t>
      </w:r>
      <w:r>
        <w:rPr>
          <w:rFonts w:hint="eastAsia" w:ascii="仿宋" w:hAnsi="仿宋" w:eastAsia="仿宋"/>
          <w:color w:val="auto"/>
          <w:sz w:val="28"/>
          <w:szCs w:val="28"/>
        </w:rPr>
        <w:t>多项荣誉或</w:t>
      </w:r>
      <w:r>
        <w:rPr>
          <w:rFonts w:ascii="仿宋" w:hAnsi="仿宋" w:eastAsia="仿宋"/>
          <w:color w:val="auto"/>
          <w:sz w:val="28"/>
          <w:szCs w:val="28"/>
        </w:rPr>
        <w:t>多次表彰的，</w:t>
      </w:r>
      <w:r>
        <w:rPr>
          <w:rFonts w:hint="eastAsia" w:ascii="仿宋" w:hAnsi="仿宋" w:eastAsia="仿宋"/>
          <w:color w:val="auto"/>
          <w:sz w:val="28"/>
          <w:szCs w:val="28"/>
        </w:rPr>
        <w:t>以获得分值较高的一项荣誉或一次表彰论</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“优秀研究生(干部)奖学金”、“优秀硕士毕业论文奖”、“研究生学业奖学金”、“国家奖学金”、企业或实验室设立的奖助学金等奖励金</w:t>
      </w:r>
      <w:r>
        <w:rPr>
          <w:rFonts w:hint="eastAsia" w:ascii="仿宋" w:hAnsi="仿宋" w:eastAsia="仿宋"/>
          <w:color w:val="auto"/>
          <w:sz w:val="28"/>
          <w:szCs w:val="28"/>
        </w:rPr>
        <w:t>荣誉</w:t>
      </w:r>
      <w:r>
        <w:rPr>
          <w:rFonts w:ascii="仿宋" w:hAnsi="仿宋" w:eastAsia="仿宋"/>
          <w:color w:val="auto"/>
          <w:sz w:val="28"/>
          <w:szCs w:val="28"/>
        </w:rPr>
        <w:t>，</w:t>
      </w:r>
      <w:r>
        <w:rPr>
          <w:rFonts w:hint="eastAsia" w:ascii="仿宋" w:hAnsi="仿宋" w:eastAsia="仿宋"/>
          <w:color w:val="auto"/>
          <w:sz w:val="28"/>
          <w:szCs w:val="28"/>
        </w:rPr>
        <w:t>不是本实施细则所称的</w:t>
      </w:r>
      <w:r>
        <w:rPr>
          <w:rFonts w:ascii="仿宋" w:hAnsi="仿宋" w:eastAsia="仿宋"/>
          <w:color w:val="auto"/>
          <w:sz w:val="28"/>
          <w:szCs w:val="28"/>
        </w:rPr>
        <w:t>荣誉。</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第二十四条  【学术论文的界定】</w:t>
      </w:r>
      <w:r>
        <w:rPr>
          <w:rFonts w:hint="eastAsia" w:ascii="仿宋" w:hAnsi="仿宋" w:eastAsia="仿宋"/>
          <w:color w:val="auto"/>
          <w:sz w:val="28"/>
          <w:szCs w:val="28"/>
        </w:rPr>
        <w:t>学术</w:t>
      </w:r>
      <w:r>
        <w:rPr>
          <w:rFonts w:ascii="仿宋" w:hAnsi="仿宋" w:eastAsia="仿宋"/>
          <w:color w:val="auto"/>
          <w:sz w:val="28"/>
          <w:szCs w:val="28"/>
        </w:rPr>
        <w:t>论文</w:t>
      </w:r>
      <w:r>
        <w:rPr>
          <w:rFonts w:hint="eastAsia" w:ascii="仿宋" w:hAnsi="仿宋" w:eastAsia="仿宋"/>
          <w:color w:val="auto"/>
          <w:sz w:val="28"/>
          <w:szCs w:val="28"/>
        </w:rPr>
        <w:t>，</w:t>
      </w:r>
      <w:r>
        <w:rPr>
          <w:rFonts w:ascii="仿宋" w:hAnsi="仿宋" w:eastAsia="仿宋"/>
          <w:color w:val="auto"/>
          <w:sz w:val="28"/>
          <w:szCs w:val="28"/>
        </w:rPr>
        <w:t>是指在国内外公开发行的学术刊物上发表的</w:t>
      </w:r>
      <w:r>
        <w:rPr>
          <w:rFonts w:hint="eastAsia" w:ascii="仿宋" w:hAnsi="仿宋" w:eastAsia="仿宋"/>
          <w:color w:val="auto"/>
          <w:sz w:val="28"/>
          <w:szCs w:val="28"/>
        </w:rPr>
        <w:t>与本</w:t>
      </w:r>
      <w:r>
        <w:rPr>
          <w:rFonts w:ascii="仿宋" w:hAnsi="仿宋" w:eastAsia="仿宋"/>
          <w:color w:val="auto"/>
          <w:sz w:val="28"/>
          <w:szCs w:val="28"/>
        </w:rPr>
        <w:t>专业</w:t>
      </w:r>
      <w:r>
        <w:rPr>
          <w:rFonts w:hint="eastAsia" w:ascii="仿宋" w:hAnsi="仿宋" w:eastAsia="仿宋"/>
          <w:color w:val="auto"/>
          <w:sz w:val="28"/>
          <w:szCs w:val="28"/>
        </w:rPr>
        <w:t>相关的</w:t>
      </w:r>
      <w:r>
        <w:rPr>
          <w:rFonts w:ascii="仿宋" w:hAnsi="仿宋" w:eastAsia="仿宋"/>
          <w:color w:val="auto"/>
          <w:sz w:val="28"/>
          <w:szCs w:val="28"/>
        </w:rPr>
        <w:t>论文。</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发表于</w:t>
      </w:r>
      <w:r>
        <w:rPr>
          <w:rFonts w:ascii="仿宋" w:hAnsi="仿宋" w:eastAsia="仿宋"/>
          <w:color w:val="auto"/>
          <w:sz w:val="28"/>
          <w:szCs w:val="28"/>
        </w:rPr>
        <w:t>学术刊物的“增刊、特刊、专刊、专辑”的</w:t>
      </w:r>
      <w:r>
        <w:rPr>
          <w:rFonts w:hint="eastAsia" w:ascii="仿宋" w:hAnsi="仿宋" w:eastAsia="仿宋"/>
          <w:color w:val="auto"/>
          <w:sz w:val="28"/>
          <w:szCs w:val="28"/>
        </w:rPr>
        <w:t>学术</w:t>
      </w:r>
      <w:r>
        <w:rPr>
          <w:rFonts w:ascii="仿宋" w:hAnsi="仿宋" w:eastAsia="仿宋"/>
          <w:color w:val="auto"/>
          <w:sz w:val="28"/>
          <w:szCs w:val="28"/>
        </w:rPr>
        <w:t>论文</w:t>
      </w:r>
      <w:r>
        <w:rPr>
          <w:rFonts w:hint="eastAsia" w:ascii="仿宋" w:hAnsi="仿宋" w:eastAsia="仿宋"/>
          <w:color w:val="auto"/>
          <w:sz w:val="28"/>
          <w:szCs w:val="28"/>
        </w:rPr>
        <w:t>，发表于</w:t>
      </w:r>
      <w:r>
        <w:rPr>
          <w:rFonts w:ascii="仿宋" w:hAnsi="仿宋" w:eastAsia="仿宋"/>
          <w:color w:val="auto"/>
          <w:sz w:val="28"/>
          <w:szCs w:val="28"/>
        </w:rPr>
        <w:t>非法期刊的</w:t>
      </w:r>
      <w:r>
        <w:rPr>
          <w:rFonts w:hint="eastAsia" w:ascii="仿宋" w:hAnsi="仿宋" w:eastAsia="仿宋"/>
          <w:color w:val="auto"/>
          <w:sz w:val="28"/>
          <w:szCs w:val="28"/>
        </w:rPr>
        <w:t>学术</w:t>
      </w:r>
      <w:r>
        <w:rPr>
          <w:rFonts w:ascii="仿宋" w:hAnsi="仿宋" w:eastAsia="仿宋"/>
          <w:color w:val="auto"/>
          <w:sz w:val="28"/>
          <w:szCs w:val="28"/>
        </w:rPr>
        <w:t>论文，</w:t>
      </w:r>
      <w:r>
        <w:rPr>
          <w:rFonts w:hint="eastAsia" w:ascii="仿宋" w:hAnsi="仿宋" w:eastAsia="仿宋"/>
          <w:color w:val="auto"/>
          <w:sz w:val="28"/>
          <w:szCs w:val="28"/>
        </w:rPr>
        <w:t>不属于本实施细则所称的学术论文</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学术论文的刊出时间，须在参评年度内。</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第二十五条  【学术论文的等级】</w:t>
      </w:r>
      <w:r>
        <w:rPr>
          <w:rFonts w:hint="eastAsia" w:ascii="仿宋" w:hAnsi="仿宋" w:eastAsia="仿宋"/>
          <w:color w:val="auto"/>
          <w:sz w:val="28"/>
          <w:szCs w:val="28"/>
        </w:rPr>
        <w:t>根据《</w:t>
      </w:r>
      <w:r>
        <w:rPr>
          <w:rFonts w:ascii="仿宋" w:hAnsi="仿宋" w:eastAsia="仿宋"/>
          <w:color w:val="auto"/>
          <w:sz w:val="28"/>
          <w:szCs w:val="28"/>
        </w:rPr>
        <w:t>华南农业大学学术论文评价方案（试行）</w:t>
      </w:r>
      <w:r>
        <w:rPr>
          <w:rFonts w:hint="eastAsia" w:ascii="仿宋" w:hAnsi="仿宋" w:eastAsia="仿宋"/>
          <w:color w:val="auto"/>
          <w:sz w:val="28"/>
          <w:szCs w:val="28"/>
        </w:rPr>
        <w:t>》（华南农办〔2021〕27号），</w:t>
      </w:r>
      <w:r>
        <w:rPr>
          <w:rFonts w:ascii="仿宋" w:hAnsi="仿宋" w:eastAsia="仿宋"/>
          <w:color w:val="auto"/>
          <w:sz w:val="28"/>
          <w:szCs w:val="28"/>
        </w:rPr>
        <w:t>将学术论文分为</w:t>
      </w:r>
      <w:r>
        <w:rPr>
          <w:rFonts w:hint="eastAsia" w:ascii="仿宋" w:hAnsi="仿宋" w:eastAsia="仿宋"/>
          <w:color w:val="auto"/>
          <w:sz w:val="28"/>
          <w:szCs w:val="28"/>
        </w:rPr>
        <w:t>以下五</w:t>
      </w:r>
      <w:r>
        <w:rPr>
          <w:rFonts w:ascii="仿宋" w:hAnsi="仿宋" w:eastAsia="仿宋"/>
          <w:color w:val="auto"/>
          <w:sz w:val="28"/>
          <w:szCs w:val="28"/>
        </w:rPr>
        <w:t>个等级：</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838"/>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级别</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T1类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Times New Roman" w:hAnsi="Times New Roman" w:eastAsia="仿宋"/>
                <w:color w:val="auto"/>
                <w:sz w:val="28"/>
                <w:szCs w:val="28"/>
              </w:rPr>
            </w:pPr>
            <w:r>
              <w:rPr>
                <w:rFonts w:ascii="仿宋" w:hAnsi="仿宋" w:eastAsia="仿宋"/>
                <w:color w:val="auto"/>
                <w:sz w:val="28"/>
                <w:szCs w:val="28"/>
              </w:rPr>
              <w:t>发表在《Nature》《Science》《Cell》《中国社会科学》上的学术论文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T2类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发表在中国科技期刊卓越行动计划领军期刊上的学术论文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发表在被SCI/SSCI一区收录期刊上的学术论文</w:t>
            </w:r>
            <w:r>
              <w:rPr>
                <w:rFonts w:hint="eastAsia" w:ascii="仿宋" w:hAnsi="仿宋" w:eastAsia="仿宋"/>
                <w:color w:val="auto"/>
                <w:sz w:val="28"/>
                <w:szCs w:val="28"/>
              </w:rPr>
              <w:t>；</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发表在《科学通报》《管理世界》《经济研究》《历史研究》《政治学研究》《法学研究》《哲学研究》《文学评论》上的学术论文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A类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发表在中国科技期刊卓越行动计划重点期刊上的学术论文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发表在被SCI/SSCI二区收录期刊上的学术论文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发表在北大中文核心期刊要目总览自然科学类学科分类排名第</w:t>
            </w:r>
            <w:r>
              <w:rPr>
                <w:rFonts w:hint="eastAsia" w:ascii="仿宋" w:hAnsi="仿宋" w:eastAsia="仿宋"/>
                <w:color w:val="auto"/>
                <w:sz w:val="28"/>
                <w:szCs w:val="28"/>
              </w:rPr>
              <w:t>一</w:t>
            </w:r>
            <w:r>
              <w:rPr>
                <w:rFonts w:ascii="仿宋" w:hAnsi="仿宋" w:eastAsia="仿宋"/>
                <w:color w:val="auto"/>
                <w:sz w:val="28"/>
                <w:szCs w:val="28"/>
              </w:rPr>
              <w:t>（综合性科学技术排名前</w:t>
            </w:r>
            <w:r>
              <w:rPr>
                <w:rFonts w:hint="eastAsia" w:ascii="仿宋" w:hAnsi="仿宋" w:eastAsia="仿宋"/>
                <w:color w:val="auto"/>
                <w:sz w:val="28"/>
                <w:szCs w:val="28"/>
              </w:rPr>
              <w:t>三</w:t>
            </w:r>
            <w:r>
              <w:rPr>
                <w:rFonts w:ascii="仿宋" w:hAnsi="仿宋" w:eastAsia="仿宋"/>
                <w:color w:val="auto"/>
                <w:sz w:val="28"/>
                <w:szCs w:val="28"/>
              </w:rPr>
              <w:t>，第</w:t>
            </w:r>
            <w:r>
              <w:rPr>
                <w:rFonts w:hint="eastAsia" w:ascii="仿宋" w:hAnsi="仿宋" w:eastAsia="仿宋"/>
                <w:color w:val="auto"/>
                <w:sz w:val="28"/>
                <w:szCs w:val="28"/>
              </w:rPr>
              <w:t>一</w:t>
            </w:r>
            <w:r>
              <w:rPr>
                <w:rFonts w:ascii="仿宋" w:hAnsi="仿宋" w:eastAsia="仿宋"/>
                <w:color w:val="auto"/>
                <w:sz w:val="28"/>
                <w:szCs w:val="28"/>
              </w:rPr>
              <w:t>或前</w:t>
            </w:r>
            <w:r>
              <w:rPr>
                <w:rFonts w:hint="eastAsia" w:ascii="仿宋" w:hAnsi="仿宋" w:eastAsia="仿宋"/>
                <w:color w:val="auto"/>
                <w:sz w:val="28"/>
                <w:szCs w:val="28"/>
              </w:rPr>
              <w:t>三</w:t>
            </w:r>
            <w:r>
              <w:rPr>
                <w:rFonts w:ascii="仿宋" w:hAnsi="仿宋" w:eastAsia="仿宋"/>
                <w:color w:val="auto"/>
                <w:sz w:val="28"/>
                <w:szCs w:val="28"/>
              </w:rPr>
              <w:t>的期刊已列入T1、T2类的，按排名顺延）</w:t>
            </w:r>
            <w:r>
              <w:rPr>
                <w:rFonts w:hint="eastAsia" w:ascii="仿宋" w:hAnsi="仿宋" w:eastAsia="仿宋"/>
                <w:color w:val="auto"/>
                <w:sz w:val="28"/>
                <w:szCs w:val="28"/>
              </w:rPr>
              <w:t>的</w:t>
            </w:r>
            <w:r>
              <w:rPr>
                <w:rFonts w:ascii="仿宋" w:hAnsi="仿宋" w:eastAsia="仿宋"/>
                <w:color w:val="auto"/>
                <w:sz w:val="28"/>
                <w:szCs w:val="28"/>
              </w:rPr>
              <w:t>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④</w:t>
            </w:r>
            <w:r>
              <w:rPr>
                <w:rFonts w:ascii="仿宋" w:hAnsi="仿宋" w:eastAsia="仿宋"/>
                <w:color w:val="auto"/>
                <w:sz w:val="28"/>
                <w:szCs w:val="28"/>
              </w:rPr>
              <w:t>发表在北大中文核心期刊要目总览人文社会科学类学科分类排名第</w:t>
            </w:r>
            <w:r>
              <w:rPr>
                <w:rFonts w:hint="eastAsia" w:ascii="仿宋" w:hAnsi="仿宋" w:eastAsia="仿宋"/>
                <w:color w:val="auto"/>
                <w:sz w:val="28"/>
                <w:szCs w:val="28"/>
              </w:rPr>
              <w:t>一</w:t>
            </w:r>
            <w:r>
              <w:rPr>
                <w:rFonts w:ascii="仿宋" w:hAnsi="仿宋" w:eastAsia="仿宋"/>
                <w:color w:val="auto"/>
                <w:sz w:val="28"/>
                <w:szCs w:val="28"/>
              </w:rPr>
              <w:t>（综合性人文、社会科学排名前</w:t>
            </w:r>
            <w:r>
              <w:rPr>
                <w:rFonts w:hint="eastAsia" w:ascii="仿宋" w:hAnsi="仿宋" w:eastAsia="仿宋"/>
                <w:color w:val="auto"/>
                <w:sz w:val="28"/>
                <w:szCs w:val="28"/>
              </w:rPr>
              <w:t>三</w:t>
            </w:r>
            <w:r>
              <w:rPr>
                <w:rFonts w:ascii="仿宋" w:hAnsi="仿宋" w:eastAsia="仿宋"/>
                <w:color w:val="auto"/>
                <w:sz w:val="28"/>
                <w:szCs w:val="28"/>
              </w:rPr>
              <w:t>，第</w:t>
            </w:r>
            <w:r>
              <w:rPr>
                <w:rFonts w:hint="eastAsia" w:ascii="仿宋" w:hAnsi="仿宋" w:eastAsia="仿宋"/>
                <w:color w:val="auto"/>
                <w:sz w:val="28"/>
                <w:szCs w:val="28"/>
              </w:rPr>
              <w:t>一</w:t>
            </w:r>
            <w:r>
              <w:rPr>
                <w:rFonts w:ascii="仿宋" w:hAnsi="仿宋" w:eastAsia="仿宋"/>
                <w:color w:val="auto"/>
                <w:sz w:val="28"/>
                <w:szCs w:val="28"/>
              </w:rPr>
              <w:t>或前</w:t>
            </w:r>
            <w:r>
              <w:rPr>
                <w:rFonts w:hint="eastAsia" w:ascii="仿宋" w:hAnsi="仿宋" w:eastAsia="仿宋"/>
                <w:color w:val="auto"/>
                <w:sz w:val="28"/>
                <w:szCs w:val="28"/>
              </w:rPr>
              <w:t>三</w:t>
            </w:r>
            <w:r>
              <w:rPr>
                <w:rFonts w:ascii="仿宋" w:hAnsi="仿宋" w:eastAsia="仿宋"/>
                <w:color w:val="auto"/>
                <w:sz w:val="28"/>
                <w:szCs w:val="28"/>
              </w:rPr>
              <w:t>的期刊已列入T1、T2类的，按排名顺延）且同时为中文社会科学引文索引（CSSCI）来源期刊（不含扩展版）上的学术论文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⑤</w:t>
            </w:r>
            <w:r>
              <w:rPr>
                <w:rFonts w:ascii="仿宋" w:hAnsi="仿宋" w:eastAsia="仿宋"/>
                <w:color w:val="auto"/>
                <w:sz w:val="28"/>
                <w:szCs w:val="28"/>
              </w:rPr>
              <w:t>被《中国社会科学文摘》和《新华文摘》转载的学术论文（主体转载，</w:t>
            </w:r>
            <w:r>
              <w:rPr>
                <w:rFonts w:hint="eastAsia" w:ascii="仿宋" w:hAnsi="仿宋" w:eastAsia="仿宋"/>
                <w:color w:val="auto"/>
                <w:sz w:val="28"/>
                <w:szCs w:val="28"/>
              </w:rPr>
              <w:t>三千</w:t>
            </w:r>
            <w:r>
              <w:rPr>
                <w:rFonts w:ascii="仿宋" w:hAnsi="仿宋" w:eastAsia="仿宋"/>
                <w:color w:val="auto"/>
                <w:sz w:val="28"/>
                <w:szCs w:val="28"/>
              </w:rPr>
              <w:t>字以上）</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⑥</w:t>
            </w:r>
            <w:r>
              <w:rPr>
                <w:rFonts w:ascii="仿宋" w:hAnsi="仿宋" w:eastAsia="仿宋"/>
                <w:color w:val="auto"/>
                <w:sz w:val="28"/>
                <w:szCs w:val="28"/>
              </w:rPr>
              <w:t>发表在《求是》《人民日报》《光明日报》《经济日报》上的理论文章</w:t>
            </w:r>
            <w:r>
              <w:rPr>
                <w:rFonts w:hint="eastAsia" w:ascii="仿宋" w:hAnsi="仿宋" w:eastAsia="仿宋"/>
                <w:color w:val="auto"/>
                <w:sz w:val="28"/>
                <w:szCs w:val="28"/>
              </w:rPr>
              <w:t>；</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⑦</w:t>
            </w:r>
            <w:r>
              <w:rPr>
                <w:rFonts w:ascii="仿宋" w:hAnsi="仿宋" w:eastAsia="仿宋"/>
                <w:color w:val="auto"/>
                <w:sz w:val="28"/>
                <w:szCs w:val="28"/>
              </w:rPr>
              <w:t>发表在《马克思主义研究》《马克思主义与现实》《装饰》上的学术论文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B类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发表在中国科技期刊卓越行动计划梯队期刊上的学术论文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发表在被SCI/SSCI三区、四区收录期刊上的学术论文；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发表在北大中文核心期刊要目总览自然科学类学科分类排名前25%期刊上的学术论文</w:t>
            </w:r>
            <w:r>
              <w:rPr>
                <w:rFonts w:hint="eastAsia" w:ascii="仿宋" w:hAnsi="仿宋" w:eastAsia="仿宋"/>
                <w:color w:val="auto"/>
                <w:sz w:val="28"/>
                <w:szCs w:val="28"/>
              </w:rPr>
              <w:t>；</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④</w:t>
            </w:r>
            <w:r>
              <w:rPr>
                <w:rFonts w:ascii="仿宋" w:hAnsi="仿宋" w:eastAsia="仿宋"/>
                <w:color w:val="auto"/>
                <w:sz w:val="28"/>
                <w:szCs w:val="28"/>
              </w:rPr>
              <w:t>发表在北大中心核心期刊要目总览人文社会科学类学科分类排名前25%，且同时为中文社会科学引文索引（CSSCI）来源期刊（不含扩展版）上的学术论文；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⑤</w:t>
            </w:r>
            <w:r>
              <w:rPr>
                <w:rFonts w:ascii="仿宋" w:hAnsi="仿宋" w:eastAsia="仿宋"/>
                <w:color w:val="auto"/>
                <w:sz w:val="28"/>
                <w:szCs w:val="28"/>
              </w:rPr>
              <w:t>被《中国社会科学文摘》和《新华文摘》论点摘编的学术论文，被中国人民大学《复印报刊资料》全文转载的学术论文；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⑥</w:t>
            </w:r>
            <w:r>
              <w:rPr>
                <w:rFonts w:ascii="仿宋" w:hAnsi="仿宋" w:eastAsia="仿宋"/>
                <w:color w:val="auto"/>
                <w:sz w:val="28"/>
                <w:szCs w:val="28"/>
              </w:rPr>
              <w:t>发表在被A&amp;HCI收录期刊上的学术论文（仅限体育、外语、艺术类学科），发表在被EI收录期刊上的学术论文（仅限农业工程、林业工程、水利工程、土木工程学科，检索类型为JA）；</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⑦</w:t>
            </w:r>
            <w:r>
              <w:rPr>
                <w:rFonts w:ascii="仿宋" w:hAnsi="仿宋" w:eastAsia="仿宋"/>
                <w:color w:val="auto"/>
                <w:sz w:val="28"/>
                <w:szCs w:val="28"/>
              </w:rPr>
              <w:t>发表在《华南农业大学学报》《美术与设计》上的学术论文</w:t>
            </w:r>
            <w:r>
              <w:rPr>
                <w:rFonts w:hint="eastAsia"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45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C类</w:t>
            </w:r>
          </w:p>
        </w:tc>
        <w:tc>
          <w:tcPr>
            <w:tcW w:w="4544" w:type="pct"/>
            <w:tcBorders>
              <w:top w:val="single" w:color="000000" w:sz="8" w:space="0"/>
              <w:left w:val="single" w:color="000000" w:sz="8" w:space="0"/>
              <w:bottom w:val="single" w:color="000000" w:sz="8" w:space="0"/>
              <w:right w:val="single" w:color="000000" w:sz="8" w:space="0"/>
            </w:tcBorders>
            <w:vAlign w:val="center"/>
          </w:tcPr>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①</w:t>
            </w:r>
            <w:r>
              <w:rPr>
                <w:rFonts w:ascii="仿宋" w:hAnsi="仿宋" w:eastAsia="仿宋"/>
                <w:color w:val="auto"/>
                <w:sz w:val="28"/>
                <w:szCs w:val="28"/>
              </w:rPr>
              <w:t>发表在中国科技期刊卓越行动计划高起点新刊上的学术论文；</w:t>
            </w:r>
          </w:p>
          <w:p>
            <w:pPr>
              <w:snapToGrid w:val="0"/>
              <w:ind w:firstLine="560" w:firstLineChars="200"/>
              <w:rPr>
                <w:rFonts w:ascii="仿宋" w:hAnsi="仿宋" w:eastAsia="仿宋"/>
                <w:color w:val="auto"/>
                <w:sz w:val="28"/>
                <w:szCs w:val="28"/>
              </w:rPr>
            </w:pPr>
            <w:r>
              <w:rPr>
                <w:rFonts w:hint="eastAsia" w:ascii="仿宋" w:hAnsi="仿宋" w:eastAsia="仿宋"/>
                <w:color w:val="auto"/>
                <w:sz w:val="28"/>
                <w:szCs w:val="28"/>
              </w:rPr>
              <w:t>②</w:t>
            </w:r>
            <w:r>
              <w:rPr>
                <w:rFonts w:ascii="仿宋" w:hAnsi="仿宋" w:eastAsia="仿宋"/>
                <w:color w:val="auto"/>
                <w:sz w:val="28"/>
                <w:szCs w:val="28"/>
              </w:rPr>
              <w:t>发表在北大中文核心期刊和中文社会科学引文索引（CSSCI）来源期刊上、未列入以上T1、T2、A、B类的学术论文；</w:t>
            </w:r>
          </w:p>
          <w:p>
            <w:pPr>
              <w:snapToGrid w:val="0"/>
              <w:ind w:firstLine="560" w:firstLineChars="200"/>
              <w:rPr>
                <w:rFonts w:ascii="Times New Roman" w:hAnsi="Times New Roman" w:eastAsia="仿宋"/>
                <w:color w:val="auto"/>
                <w:sz w:val="28"/>
                <w:szCs w:val="28"/>
              </w:rPr>
            </w:pPr>
            <w:r>
              <w:rPr>
                <w:rFonts w:hint="eastAsia" w:ascii="仿宋" w:hAnsi="仿宋" w:eastAsia="仿宋"/>
                <w:color w:val="auto"/>
                <w:sz w:val="28"/>
                <w:szCs w:val="28"/>
              </w:rPr>
              <w:t>③</w:t>
            </w:r>
            <w:r>
              <w:rPr>
                <w:rFonts w:ascii="仿宋" w:hAnsi="仿宋" w:eastAsia="仿宋"/>
                <w:color w:val="auto"/>
                <w:sz w:val="28"/>
                <w:szCs w:val="28"/>
              </w:rPr>
              <w:t>发表在《日语学习与研究》上的学术论文</w:t>
            </w:r>
            <w:r>
              <w:rPr>
                <w:rFonts w:hint="eastAsia" w:ascii="仿宋" w:hAnsi="仿宋" w:eastAsia="仿宋"/>
                <w:color w:val="auto"/>
                <w:sz w:val="28"/>
                <w:szCs w:val="28"/>
              </w:rPr>
              <w:t>。</w:t>
            </w:r>
          </w:p>
        </w:tc>
      </w:tr>
    </w:tbl>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一般学术刊物</w:t>
      </w:r>
      <w:r>
        <w:rPr>
          <w:rFonts w:hint="eastAsia" w:ascii="仿宋" w:hAnsi="仿宋" w:eastAsia="仿宋"/>
          <w:color w:val="auto"/>
          <w:sz w:val="28"/>
          <w:szCs w:val="28"/>
        </w:rPr>
        <w:t>，是</w:t>
      </w:r>
      <w:r>
        <w:rPr>
          <w:rFonts w:ascii="仿宋" w:hAnsi="仿宋" w:eastAsia="仿宋"/>
          <w:color w:val="auto"/>
          <w:sz w:val="28"/>
          <w:szCs w:val="28"/>
        </w:rPr>
        <w:t>指除</w:t>
      </w:r>
      <w:r>
        <w:rPr>
          <w:rFonts w:hint="eastAsia" w:ascii="仿宋" w:hAnsi="仿宋" w:eastAsia="仿宋"/>
          <w:color w:val="auto"/>
          <w:sz w:val="28"/>
          <w:szCs w:val="28"/>
        </w:rPr>
        <w:t>前款所涉刊物</w:t>
      </w:r>
      <w:r>
        <w:rPr>
          <w:rFonts w:ascii="仿宋" w:hAnsi="仿宋" w:eastAsia="仿宋"/>
          <w:color w:val="auto"/>
          <w:sz w:val="28"/>
          <w:szCs w:val="28"/>
        </w:rPr>
        <w:t>外，国内外公开发行的其他学术刊物、非核心期刊。</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第二十六条  【著作的界定】</w:t>
      </w:r>
      <w:r>
        <w:rPr>
          <w:rFonts w:ascii="仿宋" w:hAnsi="仿宋" w:eastAsia="仿宋"/>
          <w:color w:val="auto"/>
          <w:sz w:val="28"/>
          <w:szCs w:val="28"/>
        </w:rPr>
        <w:t>著作</w:t>
      </w:r>
      <w:r>
        <w:rPr>
          <w:rFonts w:hint="eastAsia" w:ascii="仿宋" w:hAnsi="仿宋" w:eastAsia="仿宋"/>
          <w:color w:val="auto"/>
          <w:sz w:val="28"/>
          <w:szCs w:val="28"/>
        </w:rPr>
        <w:t>，</w:t>
      </w:r>
      <w:r>
        <w:rPr>
          <w:rFonts w:ascii="仿宋" w:hAnsi="仿宋" w:eastAsia="仿宋"/>
          <w:color w:val="auto"/>
          <w:sz w:val="28"/>
          <w:szCs w:val="28"/>
        </w:rPr>
        <w:t>是指取得</w:t>
      </w:r>
      <w:r>
        <w:rPr>
          <w:rFonts w:ascii="Times New Roman" w:hAnsi="Times New Roman" w:eastAsia="Times New Roman"/>
          <w:color w:val="auto"/>
          <w:sz w:val="28"/>
          <w:szCs w:val="28"/>
        </w:rPr>
        <w:t>ISBN</w:t>
      </w:r>
      <w:r>
        <w:rPr>
          <w:rFonts w:ascii="仿宋" w:hAnsi="仿宋" w:eastAsia="仿宋"/>
          <w:color w:val="auto"/>
          <w:sz w:val="28"/>
          <w:szCs w:val="28"/>
        </w:rPr>
        <w:t>统一书号、公开出版发行的本专业学术专著、编著、高校教材、译著、工具书、科普著作。</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著作</w:t>
      </w:r>
      <w:r>
        <w:rPr>
          <w:rFonts w:ascii="仿宋" w:hAnsi="仿宋" w:eastAsia="仿宋"/>
          <w:color w:val="auto"/>
          <w:sz w:val="28"/>
          <w:szCs w:val="28"/>
        </w:rPr>
        <w:t>作者以著作版权页标明为准。主编或排名第一位</w:t>
      </w:r>
      <w:r>
        <w:rPr>
          <w:rFonts w:hint="eastAsia" w:ascii="仿宋" w:hAnsi="仿宋" w:eastAsia="仿宋"/>
          <w:color w:val="auto"/>
          <w:sz w:val="28"/>
          <w:szCs w:val="28"/>
        </w:rPr>
        <w:t>的</w:t>
      </w:r>
      <w:r>
        <w:rPr>
          <w:rFonts w:ascii="仿宋" w:hAnsi="仿宋" w:eastAsia="仿宋"/>
          <w:color w:val="auto"/>
          <w:sz w:val="28"/>
          <w:szCs w:val="28"/>
        </w:rPr>
        <w:t>作者认定为第一作者；排名第一位</w:t>
      </w:r>
      <w:r>
        <w:rPr>
          <w:rFonts w:hint="eastAsia" w:ascii="仿宋" w:hAnsi="仿宋" w:eastAsia="仿宋"/>
          <w:color w:val="auto"/>
          <w:sz w:val="28"/>
          <w:szCs w:val="28"/>
        </w:rPr>
        <w:t>的</w:t>
      </w:r>
      <w:r>
        <w:rPr>
          <w:rFonts w:ascii="仿宋" w:hAnsi="仿宋" w:eastAsia="仿宋"/>
          <w:color w:val="auto"/>
          <w:sz w:val="28"/>
          <w:szCs w:val="28"/>
        </w:rPr>
        <w:t>副主编或排名第二位</w:t>
      </w:r>
      <w:r>
        <w:rPr>
          <w:rFonts w:hint="eastAsia" w:ascii="仿宋" w:hAnsi="仿宋" w:eastAsia="仿宋"/>
          <w:color w:val="auto"/>
          <w:sz w:val="28"/>
          <w:szCs w:val="28"/>
        </w:rPr>
        <w:t>的</w:t>
      </w:r>
      <w:r>
        <w:rPr>
          <w:rFonts w:ascii="仿宋" w:hAnsi="仿宋" w:eastAsia="仿宋"/>
          <w:color w:val="auto"/>
          <w:sz w:val="28"/>
          <w:szCs w:val="28"/>
        </w:rPr>
        <w:t>作者认定为第二作者</w:t>
      </w:r>
      <w:r>
        <w:rPr>
          <w:rFonts w:hint="eastAsia" w:ascii="仿宋" w:hAnsi="仿宋" w:eastAsia="仿宋"/>
          <w:color w:val="auto"/>
          <w:sz w:val="28"/>
          <w:szCs w:val="28"/>
        </w:rPr>
        <w:t>；</w:t>
      </w:r>
      <w:r>
        <w:rPr>
          <w:rFonts w:ascii="仿宋" w:hAnsi="仿宋" w:eastAsia="仿宋"/>
          <w:color w:val="auto"/>
          <w:sz w:val="28"/>
          <w:szCs w:val="28"/>
        </w:rPr>
        <w:t>排名在副主编以后</w:t>
      </w:r>
      <w:r>
        <w:rPr>
          <w:rFonts w:hint="eastAsia" w:ascii="仿宋" w:hAnsi="仿宋" w:eastAsia="仿宋"/>
          <w:color w:val="auto"/>
          <w:sz w:val="28"/>
          <w:szCs w:val="28"/>
        </w:rPr>
        <w:t>的，以</w:t>
      </w:r>
      <w:r>
        <w:rPr>
          <w:rFonts w:ascii="仿宋" w:hAnsi="仿宋" w:eastAsia="仿宋"/>
          <w:color w:val="auto"/>
          <w:sz w:val="28"/>
          <w:szCs w:val="28"/>
        </w:rPr>
        <w:t>参编者</w:t>
      </w:r>
      <w:r>
        <w:rPr>
          <w:rFonts w:hint="eastAsia" w:ascii="仿宋" w:hAnsi="仿宋" w:eastAsia="仿宋"/>
          <w:color w:val="auto"/>
          <w:sz w:val="28"/>
          <w:szCs w:val="28"/>
        </w:rPr>
        <w:t>论。</w:t>
      </w:r>
      <w:r>
        <w:rPr>
          <w:rFonts w:ascii="仿宋" w:hAnsi="仿宋" w:eastAsia="仿宋"/>
          <w:color w:val="auto"/>
          <w:sz w:val="28"/>
          <w:szCs w:val="28"/>
        </w:rPr>
        <w:t>未具名于著作版权页的，</w:t>
      </w:r>
      <w:r>
        <w:rPr>
          <w:rFonts w:hint="eastAsia" w:ascii="仿宋" w:hAnsi="仿宋" w:eastAsia="仿宋"/>
          <w:color w:val="auto"/>
          <w:sz w:val="28"/>
          <w:szCs w:val="28"/>
        </w:rPr>
        <w:t>不是本实施细则所称的著作作者</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著作的出版时间，须在参评年度内。</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第二十七条  【学科竞赛的界定】</w:t>
      </w:r>
      <w:r>
        <w:rPr>
          <w:rFonts w:ascii="仿宋" w:hAnsi="仿宋" w:eastAsia="仿宋"/>
          <w:color w:val="auto"/>
          <w:sz w:val="28"/>
          <w:szCs w:val="28"/>
        </w:rPr>
        <w:t>学科竞赛</w:t>
      </w:r>
      <w:r>
        <w:rPr>
          <w:rFonts w:hint="eastAsia" w:ascii="仿宋" w:hAnsi="仿宋" w:eastAsia="仿宋"/>
          <w:color w:val="auto"/>
          <w:sz w:val="28"/>
          <w:szCs w:val="28"/>
        </w:rPr>
        <w:t>，是</w:t>
      </w:r>
      <w:r>
        <w:rPr>
          <w:rFonts w:ascii="仿宋" w:hAnsi="仿宋" w:eastAsia="仿宋"/>
          <w:color w:val="auto"/>
          <w:sz w:val="28"/>
          <w:szCs w:val="28"/>
        </w:rPr>
        <w:t>指由省级及以上行政管理部门、党团组织、学会、协会、学校、学院等主办的基础学科、专业技术应用和发明创新相关的竞赛。</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竞赛获奖应提供加盖相关部门公章的获奖证书</w:t>
      </w:r>
      <w:r>
        <w:rPr>
          <w:rFonts w:hint="eastAsia" w:ascii="仿宋" w:hAnsi="仿宋" w:eastAsia="仿宋"/>
          <w:color w:val="auto"/>
          <w:sz w:val="28"/>
          <w:szCs w:val="28"/>
        </w:rPr>
        <w:t>复印件</w:t>
      </w:r>
      <w:r>
        <w:rPr>
          <w:rFonts w:ascii="仿宋" w:hAnsi="仿宋" w:eastAsia="仿宋"/>
          <w:color w:val="auto"/>
          <w:sz w:val="28"/>
          <w:szCs w:val="28"/>
        </w:rPr>
        <w:t>，并有明确的落款单位和日期。</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本实施细则所称的学科竞赛包括《华南农业大学学生竞赛奖励办法》（华南农办〔2022〕38号）附件1中的竞赛以及经</w:t>
      </w:r>
      <w:r>
        <w:rPr>
          <w:rFonts w:ascii="仿宋" w:hAnsi="仿宋" w:eastAsia="仿宋"/>
          <w:color w:val="auto"/>
          <w:sz w:val="28"/>
          <w:szCs w:val="28"/>
        </w:rPr>
        <w:t>学院学业奖学金评审委员会</w:t>
      </w:r>
      <w:r>
        <w:rPr>
          <w:rFonts w:hint="eastAsia" w:ascii="仿宋" w:hAnsi="仿宋" w:eastAsia="仿宋"/>
          <w:color w:val="auto"/>
          <w:sz w:val="28"/>
          <w:szCs w:val="28"/>
        </w:rPr>
        <w:t>认可的其他竞赛。</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第二十八条  【其他参评成果的认定】</w:t>
      </w:r>
      <w:r>
        <w:rPr>
          <w:rFonts w:ascii="仿宋" w:hAnsi="仿宋" w:eastAsia="仿宋"/>
          <w:color w:val="auto"/>
          <w:sz w:val="28"/>
          <w:szCs w:val="28"/>
        </w:rPr>
        <w:t>省级以上重要报纸的认定以及获得国际级学术（科技）竞赛奖励的加分由学院学业奖学金评审委员会予以确定。</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第二十九条  【申请者分数相同的处理】</w:t>
      </w:r>
      <w:r>
        <w:rPr>
          <w:rFonts w:ascii="仿宋" w:hAnsi="仿宋" w:eastAsia="仿宋"/>
          <w:color w:val="auto"/>
          <w:sz w:val="28"/>
          <w:szCs w:val="28"/>
        </w:rPr>
        <w:t>申请者分数相同</w:t>
      </w:r>
      <w:r>
        <w:rPr>
          <w:rFonts w:hint="eastAsia" w:ascii="仿宋" w:hAnsi="仿宋" w:eastAsia="仿宋"/>
          <w:color w:val="auto"/>
          <w:sz w:val="28"/>
          <w:szCs w:val="28"/>
        </w:rPr>
        <w:t>的</w:t>
      </w:r>
      <w:r>
        <w:rPr>
          <w:rFonts w:ascii="仿宋" w:hAnsi="仿宋" w:eastAsia="仿宋"/>
          <w:color w:val="auto"/>
          <w:sz w:val="28"/>
          <w:szCs w:val="28"/>
        </w:rPr>
        <w:t>，由学院学业奖学金评审委员会根据申请者平时参加学院公益活动、集体活动情况</w:t>
      </w:r>
      <w:r>
        <w:rPr>
          <w:rFonts w:hint="eastAsia" w:ascii="仿宋" w:hAnsi="仿宋" w:eastAsia="仿宋"/>
          <w:color w:val="auto"/>
          <w:sz w:val="28"/>
          <w:szCs w:val="28"/>
        </w:rPr>
        <w:t>,</w:t>
      </w:r>
      <w:r>
        <w:rPr>
          <w:rFonts w:ascii="仿宋" w:hAnsi="仿宋" w:eastAsia="仿宋"/>
          <w:color w:val="auto"/>
          <w:sz w:val="28"/>
          <w:szCs w:val="28"/>
        </w:rPr>
        <w:t>学习态度、学习成绩</w:t>
      </w:r>
      <w:r>
        <w:rPr>
          <w:rFonts w:hint="eastAsia" w:ascii="仿宋" w:hAnsi="仿宋" w:eastAsia="仿宋"/>
          <w:color w:val="auto"/>
          <w:sz w:val="28"/>
          <w:szCs w:val="28"/>
        </w:rPr>
        <w:t>，</w:t>
      </w:r>
      <w:r>
        <w:rPr>
          <w:rFonts w:ascii="仿宋" w:hAnsi="仿宋" w:eastAsia="仿宋"/>
          <w:color w:val="auto"/>
          <w:sz w:val="28"/>
          <w:szCs w:val="28"/>
        </w:rPr>
        <w:t>发表论文的刊物级别、篇数等综合表现确定获奖者。</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第三十条  【参评不诚信的后果】</w:t>
      </w:r>
      <w:r>
        <w:rPr>
          <w:rFonts w:ascii="仿宋" w:hAnsi="仿宋" w:eastAsia="仿宋"/>
          <w:color w:val="auto"/>
          <w:sz w:val="28"/>
          <w:szCs w:val="28"/>
        </w:rPr>
        <w:t>参评者提供的材料必须真实可信，如有弄虚作假，取消参评资格，并根据《华南农业大学学生违纪处分实施办法》（华南农办〔2017〕101号）的规定给予严肃处理。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第三十一条  【</w:t>
      </w:r>
      <w:r>
        <w:rPr>
          <w:rFonts w:ascii="仿宋" w:hAnsi="仿宋" w:eastAsia="仿宋"/>
          <w:b/>
          <w:bCs/>
          <w:color w:val="auto"/>
          <w:sz w:val="28"/>
          <w:szCs w:val="28"/>
        </w:rPr>
        <w:t>学院学业奖学金评审委员会</w:t>
      </w:r>
      <w:r>
        <w:rPr>
          <w:rFonts w:hint="eastAsia" w:ascii="仿宋" w:hAnsi="仿宋" w:eastAsia="仿宋"/>
          <w:b/>
          <w:bCs/>
          <w:color w:val="auto"/>
          <w:sz w:val="28"/>
          <w:szCs w:val="28"/>
        </w:rPr>
        <w:t>的决定权】</w:t>
      </w:r>
      <w:r>
        <w:rPr>
          <w:rFonts w:hint="eastAsia" w:ascii="仿宋" w:hAnsi="仿宋" w:eastAsia="仿宋"/>
          <w:color w:val="auto"/>
          <w:sz w:val="28"/>
          <w:szCs w:val="28"/>
        </w:rPr>
        <w:t>本实施细则的</w:t>
      </w:r>
      <w:r>
        <w:rPr>
          <w:rFonts w:ascii="仿宋" w:hAnsi="仿宋" w:eastAsia="仿宋"/>
          <w:color w:val="auto"/>
          <w:sz w:val="28"/>
          <w:szCs w:val="28"/>
        </w:rPr>
        <w:t>未尽事宜由学院学业奖学金评审委员会研究决定。</w:t>
      </w:r>
    </w:p>
    <w:p>
      <w:pPr>
        <w:rPr>
          <w:color w:val="auto"/>
        </w:rPr>
      </w:pPr>
      <w:r>
        <w:rPr>
          <w:rFonts w:ascii="仿宋" w:hAnsi="仿宋" w:eastAsia="仿宋"/>
          <w:color w:val="auto"/>
          <w:sz w:val="28"/>
          <w:szCs w:val="28"/>
        </w:rPr>
        <w:br w:type="page"/>
      </w:r>
    </w:p>
    <w:p>
      <w:pPr>
        <w:snapToGrid w:val="0"/>
        <w:spacing w:before="187" w:after="187" w:line="520" w:lineRule="exact"/>
        <w:jc w:val="center"/>
        <w:rPr>
          <w:rFonts w:ascii="黑体" w:hAnsi="黑体" w:eastAsia="黑体"/>
          <w:b/>
          <w:bCs/>
          <w:color w:val="auto"/>
          <w:kern w:val="0"/>
          <w:sz w:val="30"/>
          <w:szCs w:val="30"/>
        </w:rPr>
      </w:pPr>
      <w:bookmarkStart w:id="0" w:name="_Hlk129675724"/>
      <w:r>
        <w:rPr>
          <w:rFonts w:hint="eastAsia" w:ascii="黑体" w:hAnsi="黑体" w:eastAsia="黑体"/>
          <w:b/>
          <w:bCs/>
          <w:color w:val="auto"/>
          <w:kern w:val="0"/>
          <w:sz w:val="30"/>
          <w:szCs w:val="30"/>
        </w:rPr>
        <w:t>第二编 分</w:t>
      </w:r>
      <w:r>
        <w:rPr>
          <w:rFonts w:ascii="黑体" w:hAnsi="黑体" w:eastAsia="黑体"/>
          <w:b/>
          <w:bCs/>
          <w:color w:val="auto"/>
          <w:kern w:val="0"/>
          <w:sz w:val="30"/>
          <w:szCs w:val="30"/>
        </w:rPr>
        <w:t>则</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第一章 一年级</w:t>
      </w:r>
      <w:r>
        <w:rPr>
          <w:rFonts w:ascii="黑体" w:hAnsi="黑体" w:eastAsia="黑体"/>
          <w:b/>
          <w:bCs/>
          <w:color w:val="auto"/>
          <w:kern w:val="0"/>
          <w:sz w:val="30"/>
          <w:szCs w:val="30"/>
        </w:rPr>
        <w:t>硕士研究生参评材料评分细则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第三十二条  【硕士推免新生获一等奖学金】</w:t>
      </w:r>
      <w:bookmarkEnd w:id="0"/>
      <w:r>
        <w:rPr>
          <w:rFonts w:ascii="仿宋" w:hAnsi="仿宋" w:eastAsia="仿宋"/>
          <w:color w:val="auto"/>
          <w:sz w:val="28"/>
          <w:szCs w:val="28"/>
        </w:rPr>
        <w:t>推免硕士研究生新生</w:t>
      </w:r>
      <w:r>
        <w:rPr>
          <w:rFonts w:hint="eastAsia" w:ascii="仿宋" w:hAnsi="仿宋" w:eastAsia="仿宋"/>
          <w:color w:val="auto"/>
          <w:sz w:val="28"/>
          <w:szCs w:val="28"/>
        </w:rPr>
        <w:t>，</w:t>
      </w:r>
      <w:r>
        <w:rPr>
          <w:rFonts w:ascii="仿宋" w:hAnsi="仿宋" w:eastAsia="仿宋"/>
          <w:color w:val="auto"/>
          <w:sz w:val="28"/>
          <w:szCs w:val="28"/>
        </w:rPr>
        <w:t>直接</w:t>
      </w:r>
      <w:r>
        <w:rPr>
          <w:rFonts w:hint="eastAsia" w:ascii="仿宋" w:hAnsi="仿宋" w:eastAsia="仿宋"/>
          <w:color w:val="auto"/>
          <w:sz w:val="28"/>
          <w:szCs w:val="28"/>
        </w:rPr>
        <w:t>评定为</w:t>
      </w:r>
      <w:r>
        <w:rPr>
          <w:rFonts w:ascii="仿宋" w:hAnsi="仿宋" w:eastAsia="仿宋"/>
          <w:color w:val="auto"/>
          <w:sz w:val="28"/>
          <w:szCs w:val="28"/>
        </w:rPr>
        <w:t>一等奖学金</w:t>
      </w:r>
      <w:r>
        <w:rPr>
          <w:rFonts w:hint="eastAsia" w:ascii="仿宋" w:hAnsi="仿宋" w:eastAsia="仿宋"/>
          <w:color w:val="auto"/>
          <w:sz w:val="28"/>
          <w:szCs w:val="28"/>
        </w:rPr>
        <w:t>。</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第三十三条  【入学考试综合成绩的界定】</w:t>
      </w:r>
      <w:r>
        <w:rPr>
          <w:rFonts w:hint="eastAsia" w:ascii="仿宋" w:hAnsi="仿宋" w:eastAsia="仿宋"/>
          <w:color w:val="auto"/>
          <w:sz w:val="28"/>
          <w:szCs w:val="28"/>
        </w:rPr>
        <w:t>入学考试综合成绩＝初试总成绩</w:t>
      </w:r>
      <w:r>
        <w:rPr>
          <w:rFonts w:ascii="仿宋" w:hAnsi="仿宋" w:eastAsia="仿宋"/>
          <w:color w:val="auto"/>
          <w:sz w:val="28"/>
          <w:szCs w:val="28"/>
        </w:rPr>
        <w:t>×</w:t>
      </w:r>
      <w:r>
        <w:rPr>
          <w:rFonts w:hint="eastAsia" w:ascii="仿宋" w:hAnsi="仿宋" w:eastAsia="仿宋"/>
          <w:color w:val="auto"/>
          <w:sz w:val="28"/>
          <w:szCs w:val="28"/>
        </w:rPr>
        <w:t>10</w:t>
      </w:r>
      <w:r>
        <w:rPr>
          <w:rFonts w:ascii="仿宋" w:hAnsi="仿宋" w:eastAsia="仿宋"/>
          <w:color w:val="auto"/>
          <w:sz w:val="28"/>
          <w:szCs w:val="28"/>
        </w:rPr>
        <w:t>%＋复试成绩×50%</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【硕士非推免新生的排名规则】</w:t>
      </w:r>
      <w:r>
        <w:rPr>
          <w:rFonts w:hint="eastAsia" w:ascii="仿宋" w:hAnsi="仿宋" w:eastAsia="仿宋"/>
          <w:color w:val="auto"/>
          <w:sz w:val="28"/>
          <w:szCs w:val="28"/>
        </w:rPr>
        <w:t>按照入学考试综合成绩从高到低对本专业硕士非推免新生进行排序，入学考试综合成绩相同的，按照初试总成绩从高到低进行排序，初试总成绩也相同的，由学院奖学金评审委员会确定排序。</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第三十四条  【硕士非推免新生奖学金申报优先条件】</w:t>
      </w:r>
      <w:r>
        <w:rPr>
          <w:rFonts w:hint="eastAsia" w:ascii="仿宋" w:hAnsi="仿宋" w:eastAsia="仿宋"/>
          <w:color w:val="auto"/>
          <w:sz w:val="28"/>
          <w:szCs w:val="28"/>
        </w:rPr>
        <w:t>具备以下条件者优先申报奖学金</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（一）第一优先条件：第一志愿报考华南农业大学；</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（二）第二优先条件：</w:t>
      </w:r>
      <w:r>
        <w:rPr>
          <w:rFonts w:ascii="仿宋" w:hAnsi="仿宋" w:eastAsia="仿宋"/>
          <w:color w:val="auto"/>
          <w:sz w:val="28"/>
          <w:szCs w:val="28"/>
        </w:rPr>
        <w:t>本科毕业于“双一流”</w:t>
      </w:r>
      <w:r>
        <w:rPr>
          <w:rFonts w:hint="eastAsia" w:ascii="仿宋" w:hAnsi="仿宋" w:eastAsia="仿宋"/>
          <w:color w:val="auto"/>
          <w:sz w:val="28"/>
          <w:szCs w:val="28"/>
        </w:rPr>
        <w:t>高校</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（三）第三优先条件：公开发表学术论文，在省级以上学科竞赛中取得过优异成绩。</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同级优先条件具有相同的优先级别。</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第三十五条  【硕士非推免新生获奖等级的评选规则】</w:t>
      </w:r>
      <w:r>
        <w:rPr>
          <w:rFonts w:hint="eastAsia" w:ascii="仿宋" w:hAnsi="仿宋" w:eastAsia="仿宋"/>
          <w:color w:val="auto"/>
          <w:sz w:val="28"/>
          <w:szCs w:val="28"/>
        </w:rPr>
        <w:t>综合考虑入学考试综合成绩排序结果、优先条件符合情况、各等级奖项指标，评选硕士非推免新生学业奖学金。</w:t>
      </w:r>
    </w:p>
    <w:p>
      <w:pPr>
        <w:snapToGrid w:val="0"/>
        <w:spacing w:before="187" w:after="187" w:line="520" w:lineRule="exact"/>
        <w:jc w:val="center"/>
        <w:rPr>
          <w:rFonts w:ascii="黑体" w:hAnsi="黑体" w:eastAsia="黑体"/>
          <w:b/>
          <w:bCs/>
          <w:color w:val="auto"/>
          <w:kern w:val="0"/>
          <w:sz w:val="30"/>
          <w:szCs w:val="30"/>
        </w:rPr>
      </w:pPr>
      <w:r>
        <w:rPr>
          <w:rFonts w:hint="eastAsia" w:ascii="黑体" w:hAnsi="黑体" w:eastAsia="黑体"/>
          <w:b/>
          <w:bCs/>
          <w:color w:val="auto"/>
          <w:kern w:val="0"/>
          <w:sz w:val="30"/>
          <w:szCs w:val="30"/>
        </w:rPr>
        <w:t>第二章 二年级以上（含二年级）</w:t>
      </w:r>
      <w:r>
        <w:rPr>
          <w:rFonts w:ascii="黑体" w:hAnsi="黑体" w:eastAsia="黑体"/>
          <w:b/>
          <w:bCs/>
          <w:color w:val="auto"/>
          <w:kern w:val="0"/>
          <w:sz w:val="30"/>
          <w:szCs w:val="30"/>
        </w:rPr>
        <w:t>硕士研究生参评材料评分细则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第三十六条  【评选方式】</w:t>
      </w:r>
      <w:r>
        <w:rPr>
          <w:rFonts w:ascii="仿宋" w:hAnsi="仿宋" w:eastAsia="仿宋"/>
          <w:color w:val="auto"/>
          <w:sz w:val="28"/>
          <w:szCs w:val="28"/>
        </w:rPr>
        <w:t>评选采取量化方式，对</w:t>
      </w:r>
      <w:r>
        <w:rPr>
          <w:rFonts w:hint="eastAsia" w:ascii="仿宋" w:hAnsi="仿宋" w:eastAsia="仿宋"/>
          <w:color w:val="auto"/>
          <w:sz w:val="28"/>
          <w:szCs w:val="28"/>
        </w:rPr>
        <w:t>学</w:t>
      </w:r>
      <w:r>
        <w:rPr>
          <w:rFonts w:ascii="仿宋" w:hAnsi="仿宋" w:eastAsia="仿宋"/>
          <w:color w:val="auto"/>
          <w:sz w:val="28"/>
          <w:szCs w:val="28"/>
        </w:rPr>
        <w:t>生在校期间综合表现进行全面评价。综合表现包括思想道德品质</w:t>
      </w:r>
      <w:r>
        <w:rPr>
          <w:rFonts w:hint="eastAsia" w:ascii="仿宋" w:hAnsi="仿宋" w:eastAsia="仿宋"/>
          <w:color w:val="auto"/>
          <w:sz w:val="28"/>
          <w:szCs w:val="28"/>
        </w:rPr>
        <w:t>和</w:t>
      </w:r>
      <w:r>
        <w:rPr>
          <w:rFonts w:ascii="仿宋" w:hAnsi="仿宋" w:eastAsia="仿宋"/>
          <w:color w:val="auto"/>
          <w:sz w:val="28"/>
          <w:szCs w:val="28"/>
        </w:rPr>
        <w:t>社会实践、学习成绩、科研和学术三个方面。</w:t>
      </w:r>
    </w:p>
    <w:p>
      <w:pPr>
        <w:snapToGrid w:val="0"/>
        <w:spacing w:line="500" w:lineRule="exact"/>
        <w:ind w:firstLine="562" w:firstLineChars="200"/>
        <w:rPr>
          <w:rFonts w:hint="eastAsia" w:ascii="仿宋" w:hAnsi="仿宋" w:eastAsia="仿宋"/>
          <w:color w:val="auto"/>
          <w:sz w:val="28"/>
          <w:szCs w:val="28"/>
        </w:rPr>
      </w:pPr>
      <w:r>
        <w:rPr>
          <w:rFonts w:hint="eastAsia" w:ascii="仿宋" w:hAnsi="仿宋" w:eastAsia="仿宋"/>
          <w:b/>
          <w:bCs/>
          <w:color w:val="auto"/>
          <w:sz w:val="28"/>
          <w:szCs w:val="28"/>
        </w:rPr>
        <w:t>第三十七条  【</w:t>
      </w:r>
      <w:r>
        <w:rPr>
          <w:rFonts w:ascii="仿宋" w:hAnsi="仿宋" w:eastAsia="仿宋"/>
          <w:b/>
          <w:bCs/>
          <w:color w:val="auto"/>
          <w:sz w:val="28"/>
          <w:szCs w:val="28"/>
        </w:rPr>
        <w:t>思想品德</w:t>
      </w:r>
      <w:r>
        <w:rPr>
          <w:rFonts w:hint="eastAsia" w:ascii="仿宋" w:hAnsi="仿宋" w:eastAsia="仿宋"/>
          <w:b/>
          <w:bCs/>
          <w:color w:val="auto"/>
          <w:sz w:val="28"/>
          <w:szCs w:val="28"/>
        </w:rPr>
        <w:t>班内互评分】</w:t>
      </w:r>
      <w:r>
        <w:rPr>
          <w:rFonts w:hint="eastAsia" w:ascii="仿宋" w:hAnsi="仿宋" w:eastAsia="仿宋"/>
          <w:color w:val="auto"/>
          <w:sz w:val="28"/>
          <w:szCs w:val="28"/>
        </w:rPr>
        <w:t>针对学生的思想道德状况，如文明有礼、诚实守信、关心同学、与人为善、富有团队精神及合作意识、关心班集体等表现，班内参评人员开展互评，结合互评对象青年大学习参学率，得出学生思想品德班内互评分。</w:t>
      </w:r>
    </w:p>
    <w:p>
      <w:pPr>
        <w:snapToGrid w:val="0"/>
        <w:spacing w:line="500" w:lineRule="exact"/>
        <w:ind w:firstLine="560" w:firstLineChars="200"/>
        <w:rPr>
          <w:rFonts w:hint="eastAsia" w:ascii="仿宋" w:hAnsi="仿宋" w:eastAsia="仿宋"/>
          <w:color w:val="auto"/>
          <w:sz w:val="28"/>
          <w:szCs w:val="28"/>
        </w:rPr>
      </w:pPr>
      <w:r>
        <w:rPr>
          <w:rFonts w:hint="eastAsia" w:ascii="仿宋" w:hAnsi="仿宋" w:eastAsia="仿宋"/>
          <w:color w:val="auto"/>
          <w:sz w:val="28"/>
          <w:szCs w:val="28"/>
        </w:rPr>
        <w:t>思想品德班内互评分＝班内奖学金参评人员打分总和/班内奖学金参评人员人数+10×互评对象青年大学习参学率。</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思想品德班内互评分满分为30分。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第三十八条  【参加社会工作加分】</w:t>
      </w:r>
      <w:r>
        <w:rPr>
          <w:rFonts w:ascii="仿宋" w:hAnsi="仿宋" w:eastAsia="仿宋"/>
          <w:color w:val="auto"/>
          <w:sz w:val="28"/>
          <w:szCs w:val="28"/>
        </w:rPr>
        <w:t>参加学生组织、学生党团组织及学校成立的其他组织，任期满一届，且尽职尽责，能够较好地完成本职工作，经群众评议，可以</w:t>
      </w:r>
      <w:r>
        <w:rPr>
          <w:rFonts w:hint="eastAsia" w:ascii="仿宋" w:hAnsi="仿宋" w:eastAsia="仿宋"/>
          <w:color w:val="auto"/>
          <w:sz w:val="28"/>
          <w:szCs w:val="28"/>
        </w:rPr>
        <w:t>按照以下标准</w:t>
      </w:r>
      <w:r>
        <w:rPr>
          <w:rFonts w:ascii="仿宋" w:hAnsi="仿宋" w:eastAsia="仿宋"/>
          <w:color w:val="auto"/>
          <w:sz w:val="28"/>
          <w:szCs w:val="28"/>
        </w:rPr>
        <w:t>申请</w:t>
      </w:r>
      <w:r>
        <w:rPr>
          <w:rFonts w:hint="eastAsia" w:ascii="仿宋" w:hAnsi="仿宋" w:eastAsia="仿宋"/>
          <w:color w:val="auto"/>
          <w:sz w:val="28"/>
          <w:szCs w:val="28"/>
        </w:rPr>
        <w:t>参加社会工作</w:t>
      </w:r>
      <w:r>
        <w:rPr>
          <w:rFonts w:ascii="仿宋" w:hAnsi="仿宋" w:eastAsia="仿宋"/>
          <w:color w:val="auto"/>
          <w:sz w:val="28"/>
          <w:szCs w:val="28"/>
        </w:rPr>
        <w:t>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（一）担任</w:t>
      </w:r>
      <w:r>
        <w:rPr>
          <w:rFonts w:ascii="仿宋" w:hAnsi="仿宋" w:eastAsia="仿宋"/>
          <w:color w:val="auto"/>
          <w:sz w:val="28"/>
          <w:szCs w:val="28"/>
        </w:rPr>
        <w:t>学校</w:t>
      </w:r>
      <w:r>
        <w:rPr>
          <w:rFonts w:hint="eastAsia" w:ascii="仿宋" w:hAnsi="仿宋" w:eastAsia="仿宋"/>
          <w:color w:val="auto"/>
          <w:sz w:val="28"/>
          <w:szCs w:val="28"/>
        </w:rPr>
        <w:t>或</w:t>
      </w:r>
      <w:r>
        <w:rPr>
          <w:rFonts w:ascii="仿宋" w:hAnsi="仿宋" w:eastAsia="仿宋"/>
          <w:color w:val="auto"/>
          <w:sz w:val="28"/>
          <w:szCs w:val="28"/>
        </w:rPr>
        <w:t>学院正式团体的正</w:t>
      </w:r>
      <w:r>
        <w:rPr>
          <w:rFonts w:hint="eastAsia" w:ascii="仿宋" w:hAnsi="仿宋" w:eastAsia="仿宋"/>
          <w:color w:val="auto"/>
          <w:sz w:val="28"/>
          <w:szCs w:val="28"/>
        </w:rPr>
        <w:t>、</w:t>
      </w:r>
      <w:r>
        <w:rPr>
          <w:rFonts w:ascii="仿宋" w:hAnsi="仿宋" w:eastAsia="仿宋"/>
          <w:color w:val="auto"/>
          <w:sz w:val="28"/>
          <w:szCs w:val="28"/>
        </w:rPr>
        <w:t>副职主要学生干部</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申请加10分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（二）担任</w:t>
      </w:r>
      <w:r>
        <w:rPr>
          <w:rFonts w:ascii="仿宋" w:hAnsi="仿宋" w:eastAsia="仿宋"/>
          <w:color w:val="auto"/>
          <w:sz w:val="28"/>
          <w:szCs w:val="28"/>
        </w:rPr>
        <w:t>学校</w:t>
      </w:r>
      <w:r>
        <w:rPr>
          <w:rFonts w:hint="eastAsia" w:ascii="仿宋" w:hAnsi="仿宋" w:eastAsia="仿宋"/>
          <w:color w:val="auto"/>
          <w:sz w:val="28"/>
          <w:szCs w:val="28"/>
        </w:rPr>
        <w:t>或</w:t>
      </w:r>
      <w:r>
        <w:rPr>
          <w:rFonts w:ascii="仿宋" w:hAnsi="仿宋" w:eastAsia="仿宋"/>
          <w:color w:val="auto"/>
          <w:sz w:val="28"/>
          <w:szCs w:val="28"/>
        </w:rPr>
        <w:t>学院正式团体正、副部长级学生干部</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申请加8分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（三）担任</w:t>
      </w:r>
      <w:r>
        <w:rPr>
          <w:rFonts w:ascii="仿宋" w:hAnsi="仿宋" w:eastAsia="仿宋"/>
          <w:color w:val="auto"/>
          <w:sz w:val="28"/>
          <w:szCs w:val="28"/>
        </w:rPr>
        <w:t>学校</w:t>
      </w:r>
      <w:r>
        <w:rPr>
          <w:rFonts w:hint="eastAsia" w:ascii="仿宋" w:hAnsi="仿宋" w:eastAsia="仿宋"/>
          <w:color w:val="auto"/>
          <w:sz w:val="28"/>
          <w:szCs w:val="28"/>
        </w:rPr>
        <w:t>或</w:t>
      </w:r>
      <w:r>
        <w:rPr>
          <w:rFonts w:ascii="仿宋" w:hAnsi="仿宋" w:eastAsia="仿宋"/>
          <w:color w:val="auto"/>
          <w:sz w:val="28"/>
          <w:szCs w:val="28"/>
        </w:rPr>
        <w:t>学院正式团体的委员或成员</w:t>
      </w:r>
      <w:r>
        <w:rPr>
          <w:rFonts w:hint="eastAsia" w:ascii="仿宋" w:hAnsi="仿宋" w:eastAsia="仿宋"/>
          <w:color w:val="auto"/>
          <w:sz w:val="28"/>
          <w:szCs w:val="28"/>
        </w:rPr>
        <w:t>、</w:t>
      </w:r>
      <w:r>
        <w:rPr>
          <w:rFonts w:ascii="仿宋" w:hAnsi="仿宋" w:eastAsia="仿宋"/>
          <w:color w:val="auto"/>
          <w:sz w:val="28"/>
          <w:szCs w:val="28"/>
        </w:rPr>
        <w:t>学校认可且业绩突出的其他学生社团正职负责人</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（四）担任</w:t>
      </w:r>
      <w:r>
        <w:rPr>
          <w:rFonts w:ascii="仿宋" w:hAnsi="仿宋" w:eastAsia="仿宋"/>
          <w:color w:val="auto"/>
          <w:sz w:val="28"/>
          <w:szCs w:val="28"/>
        </w:rPr>
        <w:t>班长、团支书</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申请加8分</w:t>
      </w:r>
      <w:r>
        <w:rPr>
          <w:rFonts w:hint="eastAsia" w:ascii="仿宋" w:hAnsi="仿宋" w:eastAsia="仿宋"/>
          <w:color w:val="auto"/>
          <w:sz w:val="28"/>
          <w:szCs w:val="28"/>
        </w:rPr>
        <w:t>；担任</w:t>
      </w:r>
      <w:r>
        <w:rPr>
          <w:rFonts w:ascii="仿宋" w:hAnsi="仿宋" w:eastAsia="仿宋"/>
          <w:color w:val="auto"/>
          <w:sz w:val="28"/>
          <w:szCs w:val="28"/>
        </w:rPr>
        <w:t>副班长</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申请加6分</w:t>
      </w:r>
      <w:r>
        <w:rPr>
          <w:rFonts w:hint="eastAsia" w:ascii="仿宋" w:hAnsi="仿宋" w:eastAsia="仿宋"/>
          <w:color w:val="auto"/>
          <w:sz w:val="28"/>
          <w:szCs w:val="28"/>
        </w:rPr>
        <w:t>；担任其他</w:t>
      </w:r>
      <w:r>
        <w:rPr>
          <w:rFonts w:ascii="仿宋" w:hAnsi="仿宋" w:eastAsia="仿宋"/>
          <w:color w:val="auto"/>
          <w:sz w:val="28"/>
          <w:szCs w:val="28"/>
        </w:rPr>
        <w:t>班委</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（五）担任</w:t>
      </w:r>
      <w:r>
        <w:rPr>
          <w:rFonts w:ascii="仿宋" w:hAnsi="仿宋" w:eastAsia="仿宋"/>
          <w:color w:val="auto"/>
          <w:sz w:val="28"/>
          <w:szCs w:val="28"/>
        </w:rPr>
        <w:t>研究生“三助一辅”</w:t>
      </w:r>
      <w:r>
        <w:rPr>
          <w:rFonts w:hint="eastAsia" w:ascii="仿宋" w:hAnsi="仿宋" w:eastAsia="仿宋"/>
          <w:color w:val="auto"/>
          <w:sz w:val="28"/>
          <w:szCs w:val="28"/>
        </w:rPr>
        <w:t>一学期的，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申请加4分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（六）担任</w:t>
      </w:r>
      <w:r>
        <w:rPr>
          <w:rFonts w:ascii="仿宋" w:hAnsi="仿宋" w:eastAsia="仿宋"/>
          <w:color w:val="auto"/>
          <w:sz w:val="28"/>
          <w:szCs w:val="28"/>
        </w:rPr>
        <w:t>党支部副书记</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申请加8分</w:t>
      </w:r>
      <w:r>
        <w:rPr>
          <w:rFonts w:hint="eastAsia" w:ascii="仿宋" w:hAnsi="仿宋" w:eastAsia="仿宋"/>
          <w:color w:val="auto"/>
          <w:sz w:val="28"/>
          <w:szCs w:val="28"/>
        </w:rPr>
        <w:t>；担任</w:t>
      </w:r>
      <w:r>
        <w:rPr>
          <w:rFonts w:ascii="仿宋" w:hAnsi="仿宋" w:eastAsia="仿宋"/>
          <w:color w:val="auto"/>
          <w:sz w:val="28"/>
          <w:szCs w:val="28"/>
        </w:rPr>
        <w:t>党支部委员</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（七）</w:t>
      </w:r>
      <w:r>
        <w:rPr>
          <w:rFonts w:ascii="仿宋" w:hAnsi="仿宋" w:eastAsia="仿宋"/>
          <w:color w:val="auto"/>
          <w:sz w:val="28"/>
          <w:szCs w:val="28"/>
        </w:rPr>
        <w:t>参加</w:t>
      </w:r>
      <w:r>
        <w:rPr>
          <w:rFonts w:hint="eastAsia" w:ascii="仿宋" w:hAnsi="仿宋" w:eastAsia="仿宋"/>
          <w:color w:val="auto"/>
          <w:sz w:val="28"/>
          <w:szCs w:val="28"/>
        </w:rPr>
        <w:t>学校党委学生工作部（党委研究生工作部）或学院团委举办的大学生暑期“三下乡”社会实践活动和寒假“返家乡”社会实践活动一次，可以申请加3分。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（八）</w:t>
      </w:r>
      <w:r>
        <w:rPr>
          <w:rFonts w:ascii="仿宋" w:hAnsi="仿宋" w:eastAsia="仿宋"/>
          <w:color w:val="auto"/>
          <w:sz w:val="28"/>
          <w:szCs w:val="28"/>
        </w:rPr>
        <w:t>参加</w:t>
      </w:r>
      <w:r>
        <w:rPr>
          <w:rFonts w:hint="eastAsia" w:ascii="仿宋" w:hAnsi="仿宋" w:eastAsia="仿宋"/>
          <w:color w:val="auto"/>
          <w:sz w:val="28"/>
          <w:szCs w:val="28"/>
        </w:rPr>
        <w:t>学校或学院</w:t>
      </w:r>
      <w:r>
        <w:rPr>
          <w:rFonts w:ascii="仿宋" w:hAnsi="仿宋" w:eastAsia="仿宋"/>
          <w:color w:val="auto"/>
          <w:sz w:val="28"/>
          <w:szCs w:val="28"/>
        </w:rPr>
        <w:t>举办的非学术讲座</w:t>
      </w:r>
      <w:r>
        <w:rPr>
          <w:rFonts w:hint="eastAsia" w:ascii="仿宋" w:hAnsi="仿宋" w:eastAsia="仿宋"/>
          <w:color w:val="auto"/>
          <w:sz w:val="28"/>
          <w:szCs w:val="28"/>
        </w:rPr>
        <w:t>一次</w:t>
      </w:r>
      <w:r>
        <w:rPr>
          <w:rFonts w:ascii="仿宋" w:hAnsi="仿宋" w:eastAsia="仿宋"/>
          <w:color w:val="auto"/>
          <w:sz w:val="28"/>
          <w:szCs w:val="28"/>
        </w:rPr>
        <w:t>，</w:t>
      </w:r>
      <w:r>
        <w:rPr>
          <w:rFonts w:hint="eastAsia" w:ascii="仿宋" w:hAnsi="仿宋" w:eastAsia="仿宋"/>
          <w:color w:val="auto"/>
          <w:sz w:val="28"/>
          <w:szCs w:val="28"/>
        </w:rPr>
        <w:t>可以申请加</w:t>
      </w:r>
      <w:r>
        <w:rPr>
          <w:rFonts w:ascii="仿宋" w:hAnsi="仿宋" w:eastAsia="仿宋"/>
          <w:color w:val="auto"/>
          <w:sz w:val="28"/>
          <w:szCs w:val="28"/>
        </w:rPr>
        <w:t>1分，</w:t>
      </w:r>
      <w:r>
        <w:rPr>
          <w:rFonts w:hint="eastAsia" w:ascii="仿宋" w:hAnsi="仿宋" w:eastAsia="仿宋"/>
          <w:color w:val="auto"/>
          <w:sz w:val="28"/>
          <w:szCs w:val="28"/>
        </w:rPr>
        <w:t>但本项加分不得超过5分</w:t>
      </w:r>
      <w:r>
        <w:rPr>
          <w:rFonts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兼任</w:t>
      </w:r>
      <w:r>
        <w:rPr>
          <w:rFonts w:hint="eastAsia" w:ascii="仿宋" w:hAnsi="仿宋" w:eastAsia="仿宋"/>
          <w:color w:val="auto"/>
          <w:sz w:val="28"/>
          <w:szCs w:val="28"/>
        </w:rPr>
        <w:t>多个前款第（一）至（六）项所涉</w:t>
      </w:r>
      <w:r>
        <w:rPr>
          <w:rFonts w:ascii="仿宋" w:hAnsi="仿宋" w:eastAsia="仿宋"/>
          <w:color w:val="auto"/>
          <w:sz w:val="28"/>
          <w:szCs w:val="28"/>
        </w:rPr>
        <w:t>职务</w:t>
      </w:r>
      <w:r>
        <w:rPr>
          <w:rFonts w:hint="eastAsia" w:ascii="仿宋" w:hAnsi="仿宋" w:eastAsia="仿宋"/>
          <w:color w:val="auto"/>
          <w:sz w:val="28"/>
          <w:szCs w:val="28"/>
        </w:rPr>
        <w:t>的，以担任分值较高的前三个职务论</w:t>
      </w:r>
      <w:r>
        <w:rPr>
          <w:rFonts w:ascii="仿宋" w:hAnsi="仿宋" w:eastAsia="仿宋"/>
          <w:color w:val="auto"/>
          <w:sz w:val="28"/>
          <w:szCs w:val="28"/>
        </w:rPr>
        <w:t>，第一</w:t>
      </w:r>
      <w:r>
        <w:rPr>
          <w:rFonts w:hint="eastAsia" w:ascii="仿宋" w:hAnsi="仿宋" w:eastAsia="仿宋"/>
          <w:color w:val="auto"/>
          <w:sz w:val="28"/>
          <w:szCs w:val="28"/>
        </w:rPr>
        <w:t>个职务</w:t>
      </w:r>
      <w:r>
        <w:rPr>
          <w:rFonts w:ascii="仿宋" w:hAnsi="仿宋" w:eastAsia="仿宋"/>
          <w:color w:val="auto"/>
          <w:sz w:val="28"/>
          <w:szCs w:val="28"/>
        </w:rPr>
        <w:t>计相应分值的100%、第二</w:t>
      </w:r>
      <w:r>
        <w:rPr>
          <w:rFonts w:hint="eastAsia" w:ascii="仿宋" w:hAnsi="仿宋" w:eastAsia="仿宋"/>
          <w:color w:val="auto"/>
          <w:sz w:val="28"/>
          <w:szCs w:val="28"/>
        </w:rPr>
        <w:t>个职务</w:t>
      </w:r>
      <w:r>
        <w:rPr>
          <w:rFonts w:ascii="仿宋" w:hAnsi="仿宋" w:eastAsia="仿宋"/>
          <w:color w:val="auto"/>
          <w:sz w:val="28"/>
          <w:szCs w:val="28"/>
        </w:rPr>
        <w:t>计相应分值的50%、第三</w:t>
      </w:r>
      <w:r>
        <w:rPr>
          <w:rFonts w:hint="eastAsia" w:ascii="仿宋" w:hAnsi="仿宋" w:eastAsia="仿宋"/>
          <w:color w:val="auto"/>
          <w:sz w:val="28"/>
          <w:szCs w:val="28"/>
        </w:rPr>
        <w:t>个职务</w:t>
      </w:r>
      <w:r>
        <w:rPr>
          <w:rFonts w:ascii="仿宋" w:hAnsi="仿宋" w:eastAsia="仿宋"/>
          <w:color w:val="auto"/>
          <w:sz w:val="28"/>
          <w:szCs w:val="28"/>
        </w:rPr>
        <w:t>计相应分值的25%</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担任</w:t>
      </w:r>
      <w:r>
        <w:rPr>
          <w:rFonts w:hint="eastAsia" w:ascii="仿宋" w:hAnsi="仿宋" w:eastAsia="仿宋"/>
          <w:color w:val="auto"/>
          <w:sz w:val="28"/>
          <w:szCs w:val="28"/>
        </w:rPr>
        <w:t>第一款第（一）至（六）项涉及的</w:t>
      </w:r>
      <w:r>
        <w:rPr>
          <w:rFonts w:ascii="仿宋" w:hAnsi="仿宋" w:eastAsia="仿宋"/>
          <w:color w:val="auto"/>
          <w:sz w:val="28"/>
          <w:szCs w:val="28"/>
        </w:rPr>
        <w:t>职务</w:t>
      </w:r>
      <w:r>
        <w:rPr>
          <w:rFonts w:hint="eastAsia" w:ascii="仿宋" w:hAnsi="仿宋" w:eastAsia="仿宋"/>
          <w:color w:val="auto"/>
          <w:sz w:val="28"/>
          <w:szCs w:val="28"/>
        </w:rPr>
        <w:t>，</w:t>
      </w:r>
      <w:r>
        <w:rPr>
          <w:rFonts w:ascii="仿宋" w:hAnsi="仿宋" w:eastAsia="仿宋"/>
          <w:color w:val="auto"/>
          <w:sz w:val="28"/>
          <w:szCs w:val="28"/>
        </w:rPr>
        <w:t>任期不满一届</w:t>
      </w:r>
      <w:r>
        <w:rPr>
          <w:rFonts w:hint="eastAsia" w:ascii="仿宋" w:hAnsi="仿宋" w:eastAsia="仿宋"/>
          <w:color w:val="auto"/>
          <w:sz w:val="28"/>
          <w:szCs w:val="28"/>
        </w:rPr>
        <w:t>但</w:t>
      </w:r>
      <w:r>
        <w:rPr>
          <w:rFonts w:ascii="仿宋" w:hAnsi="仿宋" w:eastAsia="仿宋"/>
          <w:color w:val="auto"/>
          <w:sz w:val="28"/>
          <w:szCs w:val="28"/>
        </w:rPr>
        <w:t>超过本届任期时间的一半以上，因正当理由不再担任所任职务的，可</w:t>
      </w:r>
      <w:r>
        <w:rPr>
          <w:rFonts w:hint="eastAsia" w:ascii="仿宋" w:hAnsi="仿宋" w:eastAsia="仿宋"/>
          <w:color w:val="auto"/>
          <w:sz w:val="28"/>
          <w:szCs w:val="28"/>
        </w:rPr>
        <w:t>以</w:t>
      </w:r>
      <w:r>
        <w:rPr>
          <w:rFonts w:ascii="仿宋" w:hAnsi="仿宋" w:eastAsia="仿宋"/>
          <w:color w:val="auto"/>
          <w:sz w:val="28"/>
          <w:szCs w:val="28"/>
        </w:rPr>
        <w:t>申请加</w:t>
      </w:r>
      <w:r>
        <w:rPr>
          <w:rFonts w:hint="eastAsia" w:ascii="仿宋" w:hAnsi="仿宋" w:eastAsia="仿宋"/>
          <w:color w:val="auto"/>
          <w:sz w:val="28"/>
          <w:szCs w:val="28"/>
        </w:rPr>
        <w:t>对应分值一半的</w:t>
      </w:r>
      <w:r>
        <w:rPr>
          <w:rFonts w:ascii="仿宋" w:hAnsi="仿宋" w:eastAsia="仿宋"/>
          <w:color w:val="auto"/>
          <w:sz w:val="28"/>
          <w:szCs w:val="28"/>
        </w:rPr>
        <w:t>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没有</w:t>
      </w:r>
      <w:r>
        <w:rPr>
          <w:rFonts w:hint="eastAsia" w:ascii="仿宋" w:hAnsi="仿宋" w:eastAsia="仿宋"/>
          <w:color w:val="auto"/>
          <w:sz w:val="28"/>
          <w:szCs w:val="28"/>
        </w:rPr>
        <w:t>担任第一款第（一）至（六）项涉及的</w:t>
      </w:r>
      <w:r>
        <w:rPr>
          <w:rFonts w:ascii="仿宋" w:hAnsi="仿宋" w:eastAsia="仿宋"/>
          <w:color w:val="auto"/>
          <w:sz w:val="28"/>
          <w:szCs w:val="28"/>
        </w:rPr>
        <w:t>职务，但积极参与学生工作，为校、系、班集体做出较大贡献</w:t>
      </w:r>
      <w:r>
        <w:rPr>
          <w:rFonts w:hint="eastAsia" w:ascii="仿宋" w:hAnsi="仿宋" w:eastAsia="仿宋"/>
          <w:color w:val="auto"/>
          <w:sz w:val="28"/>
          <w:szCs w:val="28"/>
        </w:rPr>
        <w:t>的</w:t>
      </w:r>
      <w:r>
        <w:rPr>
          <w:rFonts w:ascii="仿宋" w:hAnsi="仿宋" w:eastAsia="仿宋"/>
          <w:color w:val="auto"/>
          <w:sz w:val="28"/>
          <w:szCs w:val="28"/>
        </w:rPr>
        <w:t>，以及参加其它学生社团或组织且表现突出</w:t>
      </w:r>
      <w:r>
        <w:rPr>
          <w:rFonts w:hint="eastAsia" w:ascii="仿宋" w:hAnsi="仿宋" w:eastAsia="仿宋"/>
          <w:color w:val="auto"/>
          <w:sz w:val="28"/>
          <w:szCs w:val="28"/>
        </w:rPr>
        <w:t>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酌情加分，</w:t>
      </w:r>
      <w:r>
        <w:rPr>
          <w:rFonts w:hint="eastAsia" w:ascii="仿宋" w:hAnsi="仿宋" w:eastAsia="仿宋"/>
          <w:color w:val="auto"/>
          <w:sz w:val="28"/>
          <w:szCs w:val="28"/>
        </w:rPr>
        <w:t>但</w:t>
      </w:r>
      <w:r>
        <w:rPr>
          <w:rFonts w:ascii="仿宋" w:hAnsi="仿宋" w:eastAsia="仿宋"/>
          <w:color w:val="auto"/>
          <w:sz w:val="28"/>
          <w:szCs w:val="28"/>
        </w:rPr>
        <w:t>不</w:t>
      </w:r>
      <w:r>
        <w:rPr>
          <w:rFonts w:hint="eastAsia" w:ascii="仿宋" w:hAnsi="仿宋" w:eastAsia="仿宋"/>
          <w:color w:val="auto"/>
          <w:sz w:val="28"/>
          <w:szCs w:val="28"/>
        </w:rPr>
        <w:t>得</w:t>
      </w:r>
      <w:r>
        <w:rPr>
          <w:rFonts w:ascii="仿宋" w:hAnsi="仿宋" w:eastAsia="仿宋"/>
          <w:color w:val="auto"/>
          <w:sz w:val="28"/>
          <w:szCs w:val="28"/>
        </w:rPr>
        <w:t>超过5分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满足以下情形之一的，不得申请第一款第（一）至（六）项加分：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因违纪等原因被免去</w:t>
      </w:r>
      <w:r>
        <w:rPr>
          <w:rFonts w:hint="eastAsia" w:ascii="仿宋" w:hAnsi="仿宋" w:eastAsia="仿宋"/>
          <w:color w:val="auto"/>
          <w:sz w:val="28"/>
          <w:szCs w:val="28"/>
        </w:rPr>
        <w:t>第一款第（一）至（六）项所涉</w:t>
      </w:r>
      <w:r>
        <w:rPr>
          <w:rFonts w:ascii="仿宋" w:hAnsi="仿宋" w:eastAsia="仿宋"/>
          <w:color w:val="auto"/>
          <w:sz w:val="28"/>
          <w:szCs w:val="28"/>
        </w:rPr>
        <w:t>职务的</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在任职期间工作态度差</w:t>
      </w:r>
      <w:r>
        <w:rPr>
          <w:rFonts w:hint="eastAsia" w:ascii="仿宋" w:hAnsi="仿宋" w:eastAsia="仿宋"/>
          <w:color w:val="auto"/>
          <w:sz w:val="28"/>
          <w:szCs w:val="28"/>
        </w:rPr>
        <w:t>，</w:t>
      </w:r>
      <w:r>
        <w:rPr>
          <w:rFonts w:ascii="仿宋" w:hAnsi="仿宋" w:eastAsia="仿宋"/>
          <w:color w:val="auto"/>
          <w:sz w:val="28"/>
          <w:szCs w:val="28"/>
        </w:rPr>
        <w:t>不负责任，未完成本职工作的</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在任职期间受警告以上处分的。</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参加社会工作加分上限为20分。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第三十九条  【参加</w:t>
      </w:r>
      <w:r>
        <w:rPr>
          <w:rFonts w:ascii="仿宋" w:hAnsi="仿宋" w:eastAsia="仿宋"/>
          <w:b/>
          <w:bCs/>
          <w:color w:val="auto"/>
          <w:sz w:val="28"/>
          <w:szCs w:val="28"/>
        </w:rPr>
        <w:t>文化艺术、思想道德建设等竞赛加分</w:t>
      </w:r>
      <w:r>
        <w:rPr>
          <w:rFonts w:hint="eastAsia" w:ascii="仿宋" w:hAnsi="仿宋" w:eastAsia="仿宋"/>
          <w:b/>
          <w:bCs/>
          <w:color w:val="auto"/>
          <w:sz w:val="28"/>
          <w:szCs w:val="28"/>
        </w:rPr>
        <w:t>】</w:t>
      </w:r>
      <w:r>
        <w:rPr>
          <w:rFonts w:hint="eastAsia" w:ascii="仿宋" w:hAnsi="仿宋" w:eastAsia="仿宋"/>
          <w:color w:val="auto"/>
          <w:sz w:val="28"/>
          <w:szCs w:val="28"/>
        </w:rPr>
        <w:t>参加文化艺术、</w:t>
      </w:r>
      <w:r>
        <w:rPr>
          <w:rFonts w:ascii="仿宋" w:hAnsi="仿宋" w:eastAsia="仿宋"/>
          <w:color w:val="auto"/>
          <w:sz w:val="28"/>
          <w:szCs w:val="28"/>
        </w:rPr>
        <w:t>思想道德建设等竞赛</w:t>
      </w:r>
      <w:r>
        <w:rPr>
          <w:rFonts w:hint="eastAsia" w:ascii="仿宋" w:hAnsi="仿宋" w:eastAsia="仿宋"/>
          <w:color w:val="auto"/>
          <w:sz w:val="28"/>
          <w:szCs w:val="28"/>
        </w:rPr>
        <w:t>的，可以按照以下标准申请参加文化艺术、思想道德建设等竞赛加分：</w:t>
      </w:r>
    </w:p>
    <w:p>
      <w:pPr>
        <w:snapToGrid w:val="0"/>
        <w:spacing w:line="500" w:lineRule="exact"/>
        <w:ind w:firstLine="560" w:firstLineChars="200"/>
        <w:rPr>
          <w:rFonts w:eastAsia="仿宋"/>
          <w:color w:val="auto"/>
        </w:rPr>
      </w:pPr>
      <w:r>
        <w:rPr>
          <w:rFonts w:hint="eastAsia" w:ascii="仿宋" w:hAnsi="仿宋" w:eastAsia="仿宋"/>
          <w:color w:val="auto"/>
          <w:sz w:val="28"/>
          <w:szCs w:val="28"/>
        </w:rPr>
        <w:t>（一）</w:t>
      </w:r>
      <w:r>
        <w:rPr>
          <w:rFonts w:ascii="仿宋" w:hAnsi="仿宋" w:eastAsia="仿宋"/>
          <w:color w:val="auto"/>
          <w:sz w:val="28"/>
          <w:szCs w:val="28"/>
        </w:rPr>
        <w:t>参加教育部、团中央、省教育厅、团省委、学校</w:t>
      </w:r>
      <w:r>
        <w:rPr>
          <w:rFonts w:hint="eastAsia" w:ascii="仿宋" w:hAnsi="仿宋" w:eastAsia="仿宋"/>
          <w:color w:val="auto"/>
          <w:sz w:val="28"/>
          <w:szCs w:val="28"/>
        </w:rPr>
        <w:t>、学院</w:t>
      </w:r>
      <w:r>
        <w:rPr>
          <w:rFonts w:ascii="仿宋" w:hAnsi="仿宋" w:eastAsia="仿宋"/>
          <w:color w:val="auto"/>
          <w:sz w:val="28"/>
          <w:szCs w:val="28"/>
        </w:rPr>
        <w:t>等部门主办的征文、演讲、摄影、舞蹈、动漫等</w:t>
      </w:r>
      <w:r>
        <w:rPr>
          <w:rFonts w:hint="eastAsia" w:ascii="仿宋" w:hAnsi="仿宋" w:eastAsia="仿宋"/>
          <w:color w:val="auto"/>
          <w:sz w:val="28"/>
          <w:szCs w:val="28"/>
        </w:rPr>
        <w:t>竞赛</w:t>
      </w:r>
      <w:r>
        <w:rPr>
          <w:rFonts w:ascii="仿宋" w:hAnsi="仿宋" w:eastAsia="仿宋"/>
          <w:color w:val="auto"/>
          <w:sz w:val="28"/>
          <w:szCs w:val="28"/>
        </w:rPr>
        <w:t>，且通过选拔入围</w:t>
      </w:r>
      <w:r>
        <w:rPr>
          <w:rFonts w:hint="eastAsia" w:ascii="仿宋" w:hAnsi="仿宋" w:eastAsia="仿宋"/>
          <w:color w:val="auto"/>
          <w:sz w:val="28"/>
          <w:szCs w:val="28"/>
        </w:rPr>
        <w:t>的</w:t>
      </w:r>
      <w:r>
        <w:rPr>
          <w:rFonts w:ascii="仿宋" w:hAnsi="仿宋" w:eastAsia="仿宋"/>
          <w:color w:val="auto"/>
          <w:sz w:val="28"/>
          <w:szCs w:val="28"/>
        </w:rPr>
        <w:t>，</w:t>
      </w:r>
      <w:r>
        <w:rPr>
          <w:rFonts w:hint="eastAsia" w:ascii="仿宋" w:hAnsi="仿宋" w:eastAsia="仿宋"/>
          <w:color w:val="auto"/>
          <w:sz w:val="28"/>
          <w:szCs w:val="28"/>
        </w:rPr>
        <w:t>按照以</w:t>
      </w:r>
      <w:r>
        <w:rPr>
          <w:rFonts w:ascii="仿宋" w:hAnsi="仿宋" w:eastAsia="仿宋"/>
          <w:color w:val="auto"/>
          <w:sz w:val="28"/>
          <w:szCs w:val="28"/>
        </w:rPr>
        <w:t>下标准加分：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274"/>
        <w:gridCol w:w="2231"/>
        <w:gridCol w:w="2231"/>
        <w:gridCol w:w="223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个人竞赛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仿宋" w:hAnsi="仿宋" w:eastAsia="仿宋"/>
                <w:b/>
                <w:bCs/>
                <w:color w:val="auto"/>
                <w:sz w:val="28"/>
                <w:szCs w:val="28"/>
              </w:rPr>
              <w:t>团体竞赛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级别</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5</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4</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3</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4</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3</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3</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1</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1" w:hRule="atLeast"/>
          <w:jc w:val="center"/>
        </w:trPr>
        <w:tc>
          <w:tcPr>
            <w:tcW w:w="69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2</w:t>
            </w:r>
          </w:p>
        </w:tc>
        <w:tc>
          <w:tcPr>
            <w:tcW w:w="1214"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1</w:t>
            </w:r>
          </w:p>
        </w:tc>
        <w:tc>
          <w:tcPr>
            <w:tcW w:w="121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0.5</w:t>
            </w:r>
          </w:p>
        </w:tc>
        <w:tc>
          <w:tcPr>
            <w:tcW w:w="66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Times New Roman"/>
                <w:color w:val="auto"/>
                <w:sz w:val="28"/>
                <w:szCs w:val="28"/>
              </w:rPr>
              <w:t>0.25</w:t>
            </w:r>
          </w:p>
        </w:tc>
      </w:tr>
    </w:tbl>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积极参加体育竞赛</w:t>
      </w:r>
      <w:r>
        <w:rPr>
          <w:rFonts w:hint="eastAsia" w:ascii="仿宋" w:hAnsi="仿宋" w:eastAsia="仿宋"/>
          <w:color w:val="auto"/>
          <w:sz w:val="28"/>
          <w:szCs w:val="28"/>
        </w:rPr>
        <w:t>的</w:t>
      </w:r>
      <w:r>
        <w:rPr>
          <w:rFonts w:ascii="仿宋" w:hAnsi="仿宋" w:eastAsia="仿宋"/>
          <w:color w:val="auto"/>
          <w:sz w:val="28"/>
          <w:szCs w:val="28"/>
        </w:rPr>
        <w:t>，按</w:t>
      </w:r>
      <w:r>
        <w:rPr>
          <w:rFonts w:hint="eastAsia" w:ascii="仿宋" w:hAnsi="仿宋" w:eastAsia="仿宋"/>
          <w:color w:val="auto"/>
          <w:sz w:val="28"/>
          <w:szCs w:val="28"/>
        </w:rPr>
        <w:t>照以</w:t>
      </w:r>
      <w:r>
        <w:rPr>
          <w:rFonts w:ascii="仿宋" w:hAnsi="仿宋" w:eastAsia="仿宋"/>
          <w:color w:val="auto"/>
          <w:sz w:val="28"/>
          <w:szCs w:val="28"/>
        </w:rPr>
        <w:t>下标准加分：</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1817"/>
        <w:gridCol w:w="1831"/>
        <w:gridCol w:w="1831"/>
        <w:gridCol w:w="1831"/>
        <w:gridCol w:w="18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pPr>
              <w:snapToGrid w:val="0"/>
              <w:jc w:val="center"/>
              <w:rPr>
                <w:rFonts w:ascii="Times New Roman" w:hAnsi="Times New Roman" w:eastAsia="宋体"/>
                <w:b/>
                <w:bCs/>
                <w:color w:val="auto"/>
                <w:sz w:val="28"/>
                <w:szCs w:val="28"/>
              </w:rPr>
            </w:pPr>
            <w:r>
              <w:rPr>
                <w:rFonts w:hint="eastAsia" w:ascii="Times New Roman" w:hAnsi="Times New Roman" w:eastAsia="宋体"/>
                <w:b/>
                <w:bCs/>
                <w:color w:val="auto"/>
                <w:sz w:val="28"/>
                <w:szCs w:val="28"/>
              </w:rPr>
              <w:t>个人项目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级别</w:t>
            </w:r>
          </w:p>
        </w:tc>
        <w:tc>
          <w:tcPr>
            <w:tcW w:w="996"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第1名</w:t>
            </w:r>
          </w:p>
        </w:tc>
        <w:tc>
          <w:tcPr>
            <w:tcW w:w="996"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第2、3名</w:t>
            </w:r>
          </w:p>
        </w:tc>
        <w:tc>
          <w:tcPr>
            <w:tcW w:w="996"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第4—8名</w:t>
            </w:r>
          </w:p>
        </w:tc>
        <w:tc>
          <w:tcPr>
            <w:tcW w:w="1021"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前8以外及参赛未获奖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国家级</w:t>
            </w:r>
          </w:p>
        </w:tc>
        <w:tc>
          <w:tcPr>
            <w:tcW w:w="996" w:type="pct"/>
            <w:vAlign w:val="center"/>
          </w:tcPr>
          <w:p>
            <w:pPr>
              <w:snapToGrid w:val="0"/>
              <w:jc w:val="center"/>
              <w:rPr>
                <w:rFonts w:hint="default" w:ascii="仿宋" w:hAnsi="仿宋" w:eastAsia="仿宋" w:cs="仿宋"/>
                <w:b/>
                <w:bCs/>
                <w:color w:val="auto"/>
                <w:sz w:val="28"/>
                <w:szCs w:val="28"/>
                <w:lang w:val="en-US" w:eastAsia="zh-CN"/>
              </w:rPr>
            </w:pPr>
            <w:r>
              <w:rPr>
                <w:rFonts w:hint="eastAsia" w:ascii="Times New Roman" w:hAnsi="Times New Roman" w:eastAsia="宋体"/>
                <w:color w:val="auto"/>
                <w:sz w:val="28"/>
                <w:szCs w:val="28"/>
                <w:lang w:val="en-US" w:eastAsia="zh-CN"/>
              </w:rPr>
              <w:t>10</w:t>
            </w:r>
          </w:p>
        </w:tc>
        <w:tc>
          <w:tcPr>
            <w:tcW w:w="996" w:type="pct"/>
            <w:vAlign w:val="center"/>
          </w:tcPr>
          <w:p>
            <w:pPr>
              <w:snapToGrid w:val="0"/>
              <w:jc w:val="center"/>
              <w:rPr>
                <w:rFonts w:hint="eastAsia" w:ascii="仿宋" w:hAnsi="仿宋" w:eastAsia="仿宋" w:cs="仿宋"/>
                <w:b/>
                <w:bCs/>
                <w:color w:val="auto"/>
                <w:sz w:val="28"/>
                <w:szCs w:val="28"/>
                <w:lang w:eastAsia="zh-CN"/>
              </w:rPr>
            </w:pPr>
            <w:r>
              <w:rPr>
                <w:rFonts w:hint="eastAsia" w:ascii="Times New Roman" w:hAnsi="Times New Roman" w:eastAsia="宋体"/>
                <w:color w:val="auto"/>
                <w:sz w:val="28"/>
                <w:szCs w:val="28"/>
                <w:lang w:val="en-US" w:eastAsia="zh-CN"/>
              </w:rPr>
              <w:t>9</w:t>
            </w:r>
          </w:p>
        </w:tc>
        <w:tc>
          <w:tcPr>
            <w:tcW w:w="996" w:type="pct"/>
            <w:vAlign w:val="center"/>
          </w:tcPr>
          <w:p>
            <w:pPr>
              <w:snapToGrid w:val="0"/>
              <w:jc w:val="center"/>
              <w:rPr>
                <w:rFonts w:hint="eastAsia" w:ascii="仿宋" w:hAnsi="仿宋" w:eastAsia="仿宋" w:cs="仿宋"/>
                <w:b/>
                <w:bCs/>
                <w:color w:val="auto"/>
                <w:sz w:val="28"/>
                <w:szCs w:val="28"/>
                <w:lang w:eastAsia="zh-CN"/>
              </w:rPr>
            </w:pPr>
            <w:r>
              <w:rPr>
                <w:rFonts w:hint="eastAsia" w:ascii="Times New Roman" w:hAnsi="Times New Roman" w:eastAsia="宋体"/>
                <w:color w:val="auto"/>
                <w:sz w:val="28"/>
                <w:szCs w:val="28"/>
                <w:lang w:val="en-US" w:eastAsia="zh-CN"/>
              </w:rPr>
              <w:t>7</w:t>
            </w:r>
          </w:p>
        </w:tc>
        <w:tc>
          <w:tcPr>
            <w:tcW w:w="1021" w:type="pct"/>
            <w:vAlign w:val="center"/>
          </w:tcPr>
          <w:p>
            <w:pPr>
              <w:snapToGrid w:val="0"/>
              <w:jc w:val="center"/>
              <w:rPr>
                <w:rFonts w:hint="eastAsia" w:ascii="仿宋" w:hAnsi="仿宋" w:eastAsia="仿宋" w:cs="仿宋"/>
                <w:b/>
                <w:bCs/>
                <w:color w:val="auto"/>
                <w:sz w:val="28"/>
                <w:szCs w:val="28"/>
                <w:lang w:eastAsia="zh-CN"/>
              </w:rPr>
            </w:pPr>
            <w:r>
              <w:rPr>
                <w:rFonts w:hint="eastAsia" w:ascii="Times New Roman" w:hAnsi="Times New Roman" w:eastAsia="宋体"/>
                <w:color w:val="auto"/>
                <w:sz w:val="28"/>
                <w:szCs w:val="28"/>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w:t>
            </w:r>
            <w:r>
              <w:rPr>
                <w:rFonts w:hint="eastAsia" w:ascii="仿宋" w:hAnsi="仿宋" w:eastAsia="仿宋"/>
                <w:b/>
                <w:bCs/>
                <w:color w:val="auto"/>
                <w:sz w:val="28"/>
                <w:szCs w:val="28"/>
              </w:rPr>
              <w:t>部级</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8</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7</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5</w:t>
            </w:r>
          </w:p>
        </w:tc>
        <w:tc>
          <w:tcPr>
            <w:tcW w:w="1021"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996" w:type="pct"/>
            <w:vAlign w:val="center"/>
          </w:tcPr>
          <w:p>
            <w:pPr>
              <w:snapToGrid w:val="0"/>
              <w:jc w:val="center"/>
              <w:rPr>
                <w:rFonts w:hint="eastAsia" w:ascii="Times New Roman" w:hAnsi="Times New Roman" w:eastAsia="宋体"/>
                <w:color w:val="auto"/>
                <w:sz w:val="28"/>
                <w:szCs w:val="28"/>
                <w:lang w:eastAsia="zh-CN"/>
              </w:rPr>
            </w:pPr>
            <w:r>
              <w:rPr>
                <w:rFonts w:hint="eastAsia" w:ascii="Times New Roman" w:hAnsi="Times New Roman" w:eastAsia="宋体"/>
                <w:color w:val="auto"/>
                <w:sz w:val="28"/>
                <w:szCs w:val="28"/>
                <w:lang w:val="en-US" w:eastAsia="zh-CN"/>
              </w:rPr>
              <w:t>6</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5</w:t>
            </w:r>
          </w:p>
        </w:tc>
        <w:tc>
          <w:tcPr>
            <w:tcW w:w="996"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4</w:t>
            </w:r>
          </w:p>
        </w:tc>
        <w:tc>
          <w:tcPr>
            <w:tcW w:w="1021"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3</w:t>
            </w:r>
          </w:p>
        </w:tc>
        <w:tc>
          <w:tcPr>
            <w:tcW w:w="996"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1021" w:type="pct"/>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5000" w:type="pct"/>
            <w:gridSpan w:val="5"/>
            <w:vAlign w:val="center"/>
          </w:tcPr>
          <w:p>
            <w:pPr>
              <w:snapToGrid w:val="0"/>
              <w:jc w:val="center"/>
              <w:rPr>
                <w:rFonts w:ascii="Times New Roman" w:hAnsi="Times New Roman" w:eastAsia="Times New Roman"/>
                <w:color w:val="auto"/>
                <w:sz w:val="28"/>
                <w:szCs w:val="28"/>
              </w:rPr>
            </w:pPr>
            <w:r>
              <w:rPr>
                <w:rFonts w:hint="eastAsia" w:ascii="Times New Roman" w:hAnsi="Times New Roman" w:eastAsia="宋体"/>
                <w:b/>
                <w:bCs/>
                <w:color w:val="auto"/>
                <w:sz w:val="28"/>
                <w:szCs w:val="28"/>
              </w:rPr>
              <w:t>团体项目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996"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第1名</w:t>
            </w:r>
          </w:p>
        </w:tc>
        <w:tc>
          <w:tcPr>
            <w:tcW w:w="996"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第2</w:t>
            </w:r>
            <w:r>
              <w:rPr>
                <w:rFonts w:hint="eastAsia" w:ascii="仿宋" w:hAnsi="仿宋" w:eastAsia="仿宋"/>
                <w:b/>
                <w:bCs/>
                <w:color w:val="auto"/>
                <w:sz w:val="28"/>
                <w:szCs w:val="28"/>
              </w:rPr>
              <w:t>、</w:t>
            </w:r>
            <w:r>
              <w:rPr>
                <w:rFonts w:ascii="仿宋" w:hAnsi="仿宋" w:eastAsia="仿宋"/>
                <w:b/>
                <w:bCs/>
                <w:color w:val="auto"/>
                <w:sz w:val="28"/>
                <w:szCs w:val="28"/>
              </w:rPr>
              <w:t>3名</w:t>
            </w:r>
          </w:p>
        </w:tc>
        <w:tc>
          <w:tcPr>
            <w:tcW w:w="996"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第4</w:t>
            </w:r>
            <w:r>
              <w:rPr>
                <w:rFonts w:hint="eastAsia" w:ascii="仿宋" w:hAnsi="仿宋" w:eastAsia="仿宋"/>
                <w:b/>
                <w:bCs/>
                <w:color w:val="auto"/>
                <w:sz w:val="28"/>
                <w:szCs w:val="28"/>
              </w:rPr>
              <w:t>—</w:t>
            </w:r>
            <w:r>
              <w:rPr>
                <w:rFonts w:ascii="仿宋" w:hAnsi="仿宋" w:eastAsia="仿宋"/>
                <w:b/>
                <w:bCs/>
                <w:color w:val="auto"/>
                <w:sz w:val="28"/>
                <w:szCs w:val="28"/>
              </w:rPr>
              <w:t>8名</w:t>
            </w:r>
          </w:p>
        </w:tc>
        <w:tc>
          <w:tcPr>
            <w:tcW w:w="1021" w:type="pct"/>
            <w:vAlign w:val="center"/>
          </w:tcPr>
          <w:p>
            <w:pPr>
              <w:snapToGrid w:val="0"/>
              <w:jc w:val="center"/>
              <w:rPr>
                <w:rFonts w:ascii="宋体" w:hAnsi="宋体" w:eastAsia="宋体"/>
                <w:b/>
                <w:bCs/>
                <w:color w:val="auto"/>
                <w:sz w:val="28"/>
                <w:szCs w:val="28"/>
              </w:rPr>
            </w:pPr>
            <w:r>
              <w:rPr>
                <w:rFonts w:hint="eastAsia" w:ascii="仿宋" w:hAnsi="仿宋" w:eastAsia="仿宋" w:cs="仿宋"/>
                <w:b/>
                <w:bCs/>
                <w:color w:val="auto"/>
                <w:sz w:val="28"/>
                <w:szCs w:val="28"/>
              </w:rPr>
              <w:t>前8以外及参赛未获奖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hint="eastAsia" w:ascii="仿宋" w:hAnsi="仿宋" w:eastAsia="仿宋" w:cs="仿宋"/>
                <w:b/>
                <w:bCs/>
                <w:color w:val="auto"/>
                <w:sz w:val="28"/>
                <w:szCs w:val="28"/>
              </w:rPr>
              <w:t>国家级</w:t>
            </w:r>
          </w:p>
        </w:tc>
        <w:tc>
          <w:tcPr>
            <w:tcW w:w="996" w:type="pct"/>
            <w:vAlign w:val="center"/>
          </w:tcPr>
          <w:p>
            <w:pPr>
              <w:snapToGrid w:val="0"/>
              <w:jc w:val="center"/>
              <w:rPr>
                <w:rFonts w:hint="eastAsia" w:ascii="仿宋" w:hAnsi="仿宋" w:eastAsia="仿宋"/>
                <w:b/>
                <w:bCs/>
                <w:color w:val="auto"/>
                <w:sz w:val="28"/>
                <w:szCs w:val="28"/>
                <w:lang w:eastAsia="zh-CN"/>
              </w:rPr>
            </w:pPr>
            <w:r>
              <w:rPr>
                <w:rFonts w:hint="eastAsia" w:ascii="Times New Roman" w:hAnsi="Times New Roman" w:eastAsia="宋体"/>
                <w:color w:val="auto"/>
                <w:sz w:val="28"/>
                <w:szCs w:val="28"/>
                <w:lang w:val="en-US" w:eastAsia="zh-CN"/>
              </w:rPr>
              <w:t>5</w:t>
            </w:r>
          </w:p>
        </w:tc>
        <w:tc>
          <w:tcPr>
            <w:tcW w:w="996" w:type="pct"/>
            <w:vAlign w:val="center"/>
          </w:tcPr>
          <w:p>
            <w:pPr>
              <w:snapToGrid w:val="0"/>
              <w:jc w:val="center"/>
              <w:rPr>
                <w:rFonts w:hint="default" w:ascii="仿宋" w:hAnsi="仿宋" w:eastAsia="仿宋"/>
                <w:b/>
                <w:bCs/>
                <w:color w:val="auto"/>
                <w:sz w:val="28"/>
                <w:szCs w:val="28"/>
                <w:lang w:val="en-US" w:eastAsia="zh-CN"/>
              </w:rPr>
            </w:pPr>
            <w:r>
              <w:rPr>
                <w:rFonts w:hint="eastAsia" w:ascii="Times New Roman" w:hAnsi="Times New Roman" w:eastAsia="宋体"/>
                <w:color w:val="auto"/>
                <w:sz w:val="28"/>
                <w:szCs w:val="28"/>
                <w:lang w:val="en-US" w:eastAsia="zh-CN"/>
              </w:rPr>
              <w:t>4.5</w:t>
            </w:r>
          </w:p>
        </w:tc>
        <w:tc>
          <w:tcPr>
            <w:tcW w:w="996" w:type="pct"/>
            <w:vAlign w:val="center"/>
          </w:tcPr>
          <w:p>
            <w:pPr>
              <w:snapToGrid w:val="0"/>
              <w:jc w:val="center"/>
              <w:rPr>
                <w:rFonts w:hint="default" w:ascii="仿宋" w:hAnsi="仿宋" w:eastAsia="仿宋"/>
                <w:b/>
                <w:bCs/>
                <w:color w:val="auto"/>
                <w:sz w:val="28"/>
                <w:szCs w:val="28"/>
                <w:lang w:val="en-US" w:eastAsia="zh-CN"/>
              </w:rPr>
            </w:pPr>
            <w:r>
              <w:rPr>
                <w:rFonts w:hint="eastAsia" w:ascii="Times New Roman" w:hAnsi="Times New Roman" w:eastAsia="宋体"/>
                <w:color w:val="auto"/>
                <w:sz w:val="28"/>
                <w:szCs w:val="28"/>
                <w:lang w:val="en-US" w:eastAsia="zh-CN"/>
              </w:rPr>
              <w:t>3.5</w:t>
            </w:r>
          </w:p>
        </w:tc>
        <w:tc>
          <w:tcPr>
            <w:tcW w:w="1021" w:type="pct"/>
            <w:vAlign w:val="center"/>
          </w:tcPr>
          <w:p>
            <w:pPr>
              <w:snapToGrid w:val="0"/>
              <w:jc w:val="cente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w:t>
            </w:r>
            <w:r>
              <w:rPr>
                <w:rFonts w:hint="eastAsia" w:ascii="仿宋" w:hAnsi="仿宋" w:eastAsia="仿宋"/>
                <w:b/>
                <w:bCs/>
                <w:color w:val="auto"/>
                <w:sz w:val="28"/>
                <w:szCs w:val="28"/>
              </w:rPr>
              <w:t>部级</w:t>
            </w:r>
          </w:p>
        </w:tc>
        <w:tc>
          <w:tcPr>
            <w:tcW w:w="996" w:type="pct"/>
            <w:vAlign w:val="center"/>
          </w:tcPr>
          <w:p>
            <w:pPr>
              <w:snapToGrid w:val="0"/>
              <w:jc w:val="center"/>
              <w:rPr>
                <w:rFonts w:hint="eastAsia"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4</w:t>
            </w:r>
          </w:p>
        </w:tc>
        <w:tc>
          <w:tcPr>
            <w:tcW w:w="996"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3.5</w:t>
            </w:r>
          </w:p>
        </w:tc>
        <w:tc>
          <w:tcPr>
            <w:tcW w:w="996"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2.5</w:t>
            </w:r>
          </w:p>
        </w:tc>
        <w:tc>
          <w:tcPr>
            <w:tcW w:w="1021" w:type="pct"/>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996" w:type="pct"/>
            <w:tcBorders>
              <w:bottom w:val="single" w:color="auto" w:sz="8" w:space="0"/>
            </w:tcBorders>
            <w:vAlign w:val="center"/>
          </w:tcPr>
          <w:p>
            <w:pPr>
              <w:snapToGrid w:val="0"/>
              <w:jc w:val="center"/>
              <w:rPr>
                <w:rFonts w:hint="eastAsia" w:ascii="Times New Roman" w:hAnsi="Times New Roman" w:eastAsia="宋体"/>
                <w:color w:val="auto"/>
                <w:sz w:val="28"/>
                <w:szCs w:val="28"/>
                <w:lang w:eastAsia="zh-CN"/>
              </w:rPr>
            </w:pPr>
            <w:r>
              <w:rPr>
                <w:rFonts w:hint="eastAsia" w:ascii="Times New Roman" w:hAnsi="Times New Roman" w:eastAsia="宋体"/>
                <w:color w:val="auto"/>
                <w:sz w:val="28"/>
                <w:szCs w:val="28"/>
                <w:lang w:val="en-US" w:eastAsia="zh-CN"/>
              </w:rPr>
              <w:t>3</w:t>
            </w:r>
          </w:p>
        </w:tc>
        <w:tc>
          <w:tcPr>
            <w:tcW w:w="996" w:type="pct"/>
            <w:tcBorders>
              <w:bottom w:val="single" w:color="auto" w:sz="8" w:space="0"/>
            </w:tcBorders>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2.5</w:t>
            </w:r>
          </w:p>
        </w:tc>
        <w:tc>
          <w:tcPr>
            <w:tcW w:w="996" w:type="pct"/>
            <w:tcBorders>
              <w:bottom w:val="single" w:color="auto" w:sz="8" w:space="0"/>
            </w:tcBorders>
            <w:vAlign w:val="center"/>
          </w:tcPr>
          <w:p>
            <w:pPr>
              <w:snapToGrid w:val="0"/>
              <w:jc w:val="center"/>
              <w:rPr>
                <w:rFonts w:hint="default" w:ascii="Times New Roman" w:hAnsi="Times New Roman" w:eastAsia="宋体"/>
                <w:color w:val="auto"/>
                <w:sz w:val="28"/>
                <w:szCs w:val="28"/>
                <w:lang w:val="en-US" w:eastAsia="zh-CN"/>
              </w:rPr>
            </w:pPr>
            <w:r>
              <w:rPr>
                <w:rFonts w:hint="eastAsia" w:ascii="Times New Roman" w:hAnsi="Times New Roman" w:eastAsia="宋体"/>
                <w:color w:val="auto"/>
                <w:sz w:val="28"/>
                <w:szCs w:val="28"/>
                <w:lang w:val="en-US" w:eastAsia="zh-CN"/>
              </w:rPr>
              <w:t>2</w:t>
            </w:r>
          </w:p>
        </w:tc>
        <w:tc>
          <w:tcPr>
            <w:tcW w:w="1021" w:type="pct"/>
            <w:tcBorders>
              <w:bottom w:val="single" w:color="auto" w:sz="8"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448" w:hRule="atLeast"/>
          <w:jc w:val="center"/>
        </w:trPr>
        <w:tc>
          <w:tcPr>
            <w:tcW w:w="989" w:type="pct"/>
            <w:tcBorders>
              <w:bottom w:val="single" w:color="auto" w:sz="12"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院级</w:t>
            </w:r>
          </w:p>
        </w:tc>
        <w:tc>
          <w:tcPr>
            <w:tcW w:w="996"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c>
          <w:tcPr>
            <w:tcW w:w="996"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1.5</w:t>
            </w:r>
          </w:p>
        </w:tc>
        <w:tc>
          <w:tcPr>
            <w:tcW w:w="996"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w:t>
            </w:r>
          </w:p>
        </w:tc>
        <w:tc>
          <w:tcPr>
            <w:tcW w:w="1021" w:type="pct"/>
            <w:tcBorders>
              <w:bottom w:val="single" w:color="auto" w:sz="12" w:space="0"/>
            </w:tcBorders>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0.5</w:t>
            </w:r>
          </w:p>
        </w:tc>
      </w:tr>
    </w:tbl>
    <w:p>
      <w:pPr>
        <w:snapToGrid w:val="0"/>
        <w:spacing w:line="500" w:lineRule="exact"/>
        <w:rPr>
          <w:rFonts w:ascii="仿宋" w:hAnsi="仿宋" w:eastAsia="仿宋"/>
          <w:color w:val="auto"/>
          <w:sz w:val="28"/>
          <w:szCs w:val="28"/>
        </w:rPr>
      </w:pPr>
      <w:r>
        <w:rPr>
          <w:rFonts w:ascii="仿宋" w:hAnsi="仿宋" w:eastAsia="仿宋"/>
          <w:color w:val="auto"/>
          <w:sz w:val="28"/>
          <w:szCs w:val="28"/>
        </w:rPr>
        <w:t>本学年多次参加体育</w:t>
      </w:r>
      <w:r>
        <w:rPr>
          <w:rFonts w:hint="eastAsia" w:ascii="仿宋" w:hAnsi="仿宋" w:eastAsia="仿宋"/>
          <w:color w:val="auto"/>
          <w:sz w:val="28"/>
          <w:szCs w:val="28"/>
        </w:rPr>
        <w:t>竞赛</w:t>
      </w:r>
      <w:r>
        <w:rPr>
          <w:rFonts w:ascii="仿宋" w:hAnsi="仿宋" w:eastAsia="仿宋"/>
          <w:color w:val="auto"/>
          <w:sz w:val="28"/>
          <w:szCs w:val="28"/>
        </w:rPr>
        <w:t>的，或在一次</w:t>
      </w:r>
      <w:r>
        <w:rPr>
          <w:rFonts w:hint="eastAsia" w:ascii="仿宋" w:hAnsi="仿宋" w:eastAsia="仿宋"/>
          <w:color w:val="auto"/>
          <w:sz w:val="28"/>
          <w:szCs w:val="28"/>
        </w:rPr>
        <w:t>体育竞赛</w:t>
      </w:r>
      <w:r>
        <w:rPr>
          <w:rFonts w:ascii="仿宋" w:hAnsi="仿宋" w:eastAsia="仿宋"/>
          <w:color w:val="auto"/>
          <w:sz w:val="28"/>
          <w:szCs w:val="28"/>
        </w:rPr>
        <w:t>中参与多个项目的，可</w:t>
      </w:r>
      <w:r>
        <w:rPr>
          <w:rFonts w:hint="eastAsia" w:ascii="仿宋" w:hAnsi="仿宋" w:eastAsia="仿宋"/>
          <w:color w:val="auto"/>
          <w:sz w:val="28"/>
          <w:szCs w:val="28"/>
        </w:rPr>
        <w:t>以</w:t>
      </w:r>
      <w:r>
        <w:rPr>
          <w:rFonts w:ascii="仿宋" w:hAnsi="仿宋" w:eastAsia="仿宋"/>
          <w:color w:val="auto"/>
          <w:sz w:val="28"/>
          <w:szCs w:val="28"/>
        </w:rPr>
        <w:t>累计加分，但累计</w:t>
      </w:r>
      <w:r>
        <w:rPr>
          <w:rFonts w:hint="eastAsia" w:ascii="仿宋" w:hAnsi="仿宋" w:eastAsia="仿宋"/>
          <w:color w:val="auto"/>
          <w:sz w:val="28"/>
          <w:szCs w:val="28"/>
        </w:rPr>
        <w:t>加分</w:t>
      </w:r>
      <w:r>
        <w:rPr>
          <w:rFonts w:ascii="仿宋" w:hAnsi="仿宋" w:eastAsia="仿宋"/>
          <w:color w:val="auto"/>
          <w:sz w:val="28"/>
          <w:szCs w:val="28"/>
        </w:rPr>
        <w:t>不得</w:t>
      </w:r>
      <w:r>
        <w:rPr>
          <w:rFonts w:hint="eastAsia" w:ascii="仿宋" w:hAnsi="仿宋" w:eastAsia="仿宋"/>
          <w:color w:val="auto"/>
          <w:sz w:val="28"/>
          <w:szCs w:val="28"/>
        </w:rPr>
        <w:t>超过</w:t>
      </w:r>
      <w:r>
        <w:rPr>
          <w:rFonts w:ascii="仿宋" w:hAnsi="仿宋" w:eastAsia="仿宋"/>
          <w:color w:val="auto"/>
          <w:sz w:val="28"/>
          <w:szCs w:val="28"/>
        </w:rPr>
        <w:t>10分。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参加文化艺术、思想道德建设等竞赛加分上限为20分。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第四十条  【获得相关荣誉加分】</w:t>
      </w:r>
      <w:r>
        <w:rPr>
          <w:rFonts w:ascii="仿宋" w:hAnsi="仿宋" w:eastAsia="仿宋"/>
          <w:color w:val="auto"/>
          <w:sz w:val="28"/>
          <w:szCs w:val="28"/>
        </w:rPr>
        <w:t>获得本</w:t>
      </w:r>
      <w:r>
        <w:rPr>
          <w:rFonts w:hint="eastAsia" w:ascii="仿宋" w:hAnsi="仿宋" w:eastAsia="仿宋"/>
          <w:color w:val="auto"/>
          <w:sz w:val="28"/>
          <w:szCs w:val="28"/>
        </w:rPr>
        <w:t>条</w:t>
      </w:r>
      <w:r>
        <w:rPr>
          <w:rFonts w:ascii="仿宋" w:hAnsi="仿宋" w:eastAsia="仿宋"/>
          <w:color w:val="auto"/>
          <w:sz w:val="28"/>
          <w:szCs w:val="28"/>
        </w:rPr>
        <w:t>相关荣誉</w:t>
      </w:r>
      <w:r>
        <w:rPr>
          <w:rFonts w:hint="eastAsia" w:ascii="仿宋" w:hAnsi="仿宋" w:eastAsia="仿宋"/>
          <w:color w:val="auto"/>
          <w:sz w:val="28"/>
          <w:szCs w:val="28"/>
        </w:rPr>
        <w:t>的，可以按照以下标准申请获得相关荣誉加分：</w:t>
      </w:r>
    </w:p>
    <w:p>
      <w:pPr>
        <w:snapToGrid w:val="0"/>
        <w:spacing w:line="500" w:lineRule="exact"/>
        <w:ind w:left="56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本学年度获得“优秀共产党员”、“社区党员之星”、“优秀团员”、“优秀团干”等</w:t>
      </w:r>
      <w:r>
        <w:rPr>
          <w:rFonts w:hint="eastAsia" w:ascii="仿宋" w:hAnsi="仿宋" w:eastAsia="仿宋"/>
          <w:color w:val="auto"/>
          <w:sz w:val="28"/>
          <w:szCs w:val="28"/>
        </w:rPr>
        <w:t>荣誉的，按照以下标准加分：</w:t>
      </w:r>
    </w:p>
    <w:tbl>
      <w:tblPr>
        <w:tblStyle w:val="8"/>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6"/>
        <w:gridCol w:w="1837"/>
        <w:gridCol w:w="1837"/>
        <w:gridCol w:w="183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auto"/>
                <w:sz w:val="28"/>
                <w:szCs w:val="28"/>
              </w:rPr>
            </w:pPr>
            <w:r>
              <w:rPr>
                <w:rFonts w:hint="eastAsia" w:ascii="仿宋" w:hAnsi="仿宋" w:eastAsia="仿宋" w:cs="仿宋"/>
                <w:color w:val="auto"/>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15</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12</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10</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8</w:t>
            </w:r>
          </w:p>
        </w:tc>
      </w:tr>
    </w:tbl>
    <w:p>
      <w:pPr>
        <w:snapToGrid w:val="0"/>
        <w:spacing w:line="500" w:lineRule="exact"/>
        <w:ind w:left="56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所属集体本学年度获得“先进党支部”、“先进班集体”等先进集体</w:t>
      </w:r>
      <w:r>
        <w:rPr>
          <w:rFonts w:hint="eastAsia" w:ascii="仿宋" w:hAnsi="仿宋" w:eastAsia="仿宋"/>
          <w:color w:val="auto"/>
          <w:sz w:val="28"/>
          <w:szCs w:val="28"/>
        </w:rPr>
        <w:t>荣誉的</w:t>
      </w:r>
      <w:r>
        <w:rPr>
          <w:rFonts w:ascii="仿宋" w:hAnsi="仿宋" w:eastAsia="仿宋"/>
          <w:color w:val="auto"/>
          <w:sz w:val="28"/>
          <w:szCs w:val="28"/>
        </w:rPr>
        <w:t>，</w:t>
      </w:r>
      <w:r>
        <w:rPr>
          <w:rFonts w:hint="eastAsia" w:ascii="仿宋" w:hAnsi="仿宋" w:eastAsia="仿宋"/>
          <w:color w:val="auto"/>
          <w:sz w:val="28"/>
          <w:szCs w:val="28"/>
        </w:rPr>
        <w:t>按照以下标准加分：</w:t>
      </w:r>
    </w:p>
    <w:tbl>
      <w:tblPr>
        <w:tblStyle w:val="8"/>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836"/>
        <w:gridCol w:w="1837"/>
        <w:gridCol w:w="1837"/>
        <w:gridCol w:w="183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国家级</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省部级</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市、校级</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auto"/>
                <w:sz w:val="28"/>
                <w:szCs w:val="28"/>
              </w:rPr>
            </w:pPr>
            <w:r>
              <w:rPr>
                <w:rFonts w:hint="eastAsia" w:ascii="仿宋" w:hAnsi="仿宋" w:eastAsia="仿宋" w:cs="仿宋"/>
                <w:color w:val="auto"/>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8</w:t>
            </w:r>
          </w:p>
        </w:tc>
        <w:tc>
          <w:tcPr>
            <w:tcW w:w="999"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1000"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00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r>
    </w:tbl>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获得前款所涉荣誉，但荣誉评选周期为半年的，</w:t>
      </w:r>
      <w:r>
        <w:rPr>
          <w:rFonts w:ascii="仿宋" w:hAnsi="仿宋" w:eastAsia="仿宋"/>
          <w:color w:val="auto"/>
          <w:sz w:val="28"/>
          <w:szCs w:val="28"/>
        </w:rPr>
        <w:t>可</w:t>
      </w:r>
      <w:r>
        <w:rPr>
          <w:rFonts w:hint="eastAsia" w:ascii="仿宋" w:hAnsi="仿宋" w:eastAsia="仿宋"/>
          <w:color w:val="auto"/>
          <w:sz w:val="28"/>
          <w:szCs w:val="28"/>
        </w:rPr>
        <w:t>以</w:t>
      </w:r>
      <w:r>
        <w:rPr>
          <w:rFonts w:ascii="仿宋" w:hAnsi="仿宋" w:eastAsia="仿宋"/>
          <w:color w:val="auto"/>
          <w:sz w:val="28"/>
          <w:szCs w:val="28"/>
        </w:rPr>
        <w:t>申请加</w:t>
      </w:r>
      <w:r>
        <w:rPr>
          <w:rFonts w:hint="eastAsia" w:ascii="仿宋" w:hAnsi="仿宋" w:eastAsia="仿宋"/>
          <w:color w:val="auto"/>
          <w:sz w:val="28"/>
          <w:szCs w:val="28"/>
        </w:rPr>
        <w:t>对应分值一半的</w:t>
      </w:r>
      <w:r>
        <w:rPr>
          <w:rFonts w:ascii="仿宋" w:hAnsi="仿宋" w:eastAsia="仿宋"/>
          <w:color w:val="auto"/>
          <w:sz w:val="28"/>
          <w:szCs w:val="28"/>
        </w:rPr>
        <w:t>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获得相关荣誉加分上限为20分。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第四十一条  【参加不设奖项的活动加分】</w:t>
      </w:r>
      <w:r>
        <w:rPr>
          <w:rFonts w:hint="eastAsia" w:ascii="仿宋" w:hAnsi="仿宋" w:eastAsia="仿宋"/>
          <w:color w:val="auto"/>
          <w:sz w:val="28"/>
          <w:szCs w:val="28"/>
        </w:rPr>
        <w:t>参加不设奖项的活动的，可以按照以下标准申请参加不设奖项的活动加分：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在见义勇为、拾金不昧、帮弱助残、抢险救灾、抢救伤残等方面有突出事迹，受到表彰和通报表扬的，</w:t>
      </w:r>
      <w:r>
        <w:rPr>
          <w:rFonts w:hint="eastAsia" w:ascii="仿宋" w:hAnsi="仿宋" w:eastAsia="仿宋"/>
          <w:color w:val="auto"/>
          <w:sz w:val="28"/>
          <w:szCs w:val="28"/>
        </w:rPr>
        <w:t>按照以下标准加分：</w:t>
      </w:r>
    </w:p>
    <w:tbl>
      <w:tblPr>
        <w:tblStyle w:val="8"/>
        <w:tblpPr w:leftFromText="180" w:rightFromText="180" w:vertAnchor="text" w:horzAnchor="page" w:tblpXSpec="center" w:tblpY="87"/>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529"/>
        <w:gridCol w:w="1531"/>
        <w:gridCol w:w="1531"/>
        <w:gridCol w:w="1531"/>
        <w:gridCol w:w="1531"/>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级别</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国家级</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省部级</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市级</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校级</w:t>
            </w:r>
          </w:p>
        </w:tc>
        <w:tc>
          <w:tcPr>
            <w:tcW w:w="83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宋体" w:hAnsi="宋体" w:eastAsia="宋体"/>
                <w:color w:val="auto"/>
                <w:sz w:val="28"/>
                <w:szCs w:val="28"/>
              </w:rPr>
            </w:pPr>
            <w:r>
              <w:rPr>
                <w:rFonts w:hint="eastAsia" w:ascii="仿宋" w:hAnsi="仿宋" w:eastAsia="仿宋" w:cs="仿宋"/>
                <w:color w:val="auto"/>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832"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833"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836" w:type="pc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tbl>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参加无偿献血</w:t>
      </w:r>
      <w:r>
        <w:rPr>
          <w:rFonts w:hint="eastAsia" w:ascii="仿宋" w:hAnsi="仿宋" w:eastAsia="仿宋"/>
          <w:color w:val="auto"/>
          <w:sz w:val="28"/>
          <w:szCs w:val="28"/>
        </w:rPr>
        <w:t>一次</w:t>
      </w:r>
      <w:r>
        <w:rPr>
          <w:rFonts w:ascii="仿宋" w:hAnsi="仿宋" w:eastAsia="仿宋"/>
          <w:color w:val="auto"/>
          <w:sz w:val="28"/>
          <w:szCs w:val="28"/>
        </w:rPr>
        <w:t>，</w:t>
      </w:r>
      <w:r>
        <w:rPr>
          <w:rFonts w:hint="eastAsia" w:ascii="仿宋" w:hAnsi="仿宋" w:eastAsia="仿宋"/>
          <w:color w:val="auto"/>
          <w:sz w:val="28"/>
          <w:szCs w:val="28"/>
        </w:rPr>
        <w:t>可以申请</w:t>
      </w:r>
      <w:r>
        <w:rPr>
          <w:rFonts w:ascii="仿宋" w:hAnsi="仿宋" w:eastAsia="仿宋"/>
          <w:color w:val="auto"/>
          <w:sz w:val="28"/>
          <w:szCs w:val="28"/>
        </w:rPr>
        <w:t>加1分，</w:t>
      </w:r>
      <w:r>
        <w:rPr>
          <w:rFonts w:hint="eastAsia" w:ascii="仿宋" w:hAnsi="仿宋" w:eastAsia="仿宋"/>
          <w:color w:val="auto"/>
          <w:sz w:val="28"/>
          <w:szCs w:val="28"/>
        </w:rPr>
        <w:t>但本项加分不得超过</w:t>
      </w:r>
      <w:r>
        <w:rPr>
          <w:rFonts w:ascii="仿宋" w:hAnsi="仿宋" w:eastAsia="仿宋"/>
          <w:color w:val="auto"/>
          <w:sz w:val="28"/>
          <w:szCs w:val="28"/>
        </w:rPr>
        <w:t>2分。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w:t>
      </w:r>
      <w:r>
        <w:rPr>
          <w:rFonts w:ascii="仿宋" w:hAnsi="仿宋" w:eastAsia="仿宋"/>
          <w:color w:val="auto"/>
          <w:sz w:val="28"/>
          <w:szCs w:val="28"/>
        </w:rPr>
        <w:t>参加</w:t>
      </w:r>
      <w:r>
        <w:rPr>
          <w:rFonts w:hint="eastAsia" w:ascii="仿宋" w:hAnsi="仿宋" w:eastAsia="仿宋"/>
          <w:color w:val="auto"/>
          <w:sz w:val="28"/>
          <w:szCs w:val="28"/>
        </w:rPr>
        <w:t>一次</w:t>
      </w:r>
      <w:r>
        <w:rPr>
          <w:rFonts w:ascii="仿宋" w:hAnsi="仿宋" w:eastAsia="仿宋"/>
          <w:color w:val="auto"/>
          <w:sz w:val="28"/>
          <w:szCs w:val="28"/>
        </w:rPr>
        <w:t>学院及院级以上单位举办的</w:t>
      </w:r>
      <w:r>
        <w:rPr>
          <w:rFonts w:hint="eastAsia" w:ascii="仿宋" w:hAnsi="仿宋" w:eastAsia="仿宋"/>
          <w:color w:val="auto"/>
          <w:sz w:val="28"/>
          <w:szCs w:val="28"/>
        </w:rPr>
        <w:t>不设奖项的</w:t>
      </w:r>
      <w:r>
        <w:rPr>
          <w:rFonts w:ascii="仿宋" w:hAnsi="仿宋" w:eastAsia="仿宋"/>
          <w:color w:val="auto"/>
          <w:sz w:val="28"/>
          <w:szCs w:val="28"/>
        </w:rPr>
        <w:t>活动，</w:t>
      </w:r>
      <w:r>
        <w:rPr>
          <w:rFonts w:hint="eastAsia" w:ascii="仿宋" w:hAnsi="仿宋" w:eastAsia="仿宋"/>
          <w:color w:val="auto"/>
          <w:sz w:val="28"/>
          <w:szCs w:val="28"/>
        </w:rPr>
        <w:t>不是组织本次活动的学生干部，未获相应</w:t>
      </w:r>
      <w:r>
        <w:rPr>
          <w:rFonts w:ascii="仿宋" w:hAnsi="仿宋" w:eastAsia="仿宋"/>
          <w:color w:val="auto"/>
          <w:sz w:val="28"/>
          <w:szCs w:val="28"/>
        </w:rPr>
        <w:t>单位</w:t>
      </w:r>
      <w:r>
        <w:rPr>
          <w:rFonts w:hint="eastAsia" w:ascii="仿宋" w:hAnsi="仿宋" w:eastAsia="仿宋"/>
          <w:color w:val="auto"/>
          <w:sz w:val="28"/>
          <w:szCs w:val="28"/>
        </w:rPr>
        <w:t>表彰的，可以申请加</w:t>
      </w:r>
      <w:r>
        <w:rPr>
          <w:rFonts w:ascii="仿宋" w:hAnsi="仿宋" w:eastAsia="仿宋"/>
          <w:color w:val="auto"/>
          <w:sz w:val="28"/>
          <w:szCs w:val="28"/>
        </w:rPr>
        <w:t>0.5分</w:t>
      </w:r>
      <w:r>
        <w:rPr>
          <w:rFonts w:hint="eastAsia" w:ascii="仿宋" w:hAnsi="仿宋" w:eastAsia="仿宋"/>
          <w:color w:val="auto"/>
          <w:sz w:val="28"/>
          <w:szCs w:val="28"/>
        </w:rPr>
        <w:t>；获相应</w:t>
      </w:r>
      <w:r>
        <w:rPr>
          <w:rFonts w:ascii="仿宋" w:hAnsi="仿宋" w:eastAsia="仿宋"/>
          <w:color w:val="auto"/>
          <w:sz w:val="28"/>
          <w:szCs w:val="28"/>
        </w:rPr>
        <w:t>单位</w:t>
      </w:r>
      <w:r>
        <w:rPr>
          <w:rFonts w:hint="eastAsia" w:ascii="仿宋" w:hAnsi="仿宋" w:eastAsia="仿宋"/>
          <w:color w:val="auto"/>
          <w:sz w:val="28"/>
          <w:szCs w:val="28"/>
        </w:rPr>
        <w:t>表彰的，可以申请加1</w:t>
      </w:r>
      <w:r>
        <w:rPr>
          <w:rFonts w:ascii="仿宋" w:hAnsi="仿宋" w:eastAsia="仿宋"/>
          <w:color w:val="auto"/>
          <w:sz w:val="28"/>
          <w:szCs w:val="28"/>
        </w:rPr>
        <w:t>.5分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参加学院及院级以上单位举办的</w:t>
      </w:r>
      <w:r>
        <w:rPr>
          <w:rFonts w:hint="eastAsia" w:ascii="仿宋" w:hAnsi="仿宋" w:eastAsia="仿宋"/>
          <w:color w:val="auto"/>
          <w:sz w:val="28"/>
          <w:szCs w:val="28"/>
        </w:rPr>
        <w:t>志愿者服务活动一次，本次活动的志愿服务时长已经录入i志愿系统，未获相应单位表彰的，每有一小时志愿时记录，可以申请加0</w:t>
      </w:r>
      <w:r>
        <w:rPr>
          <w:rFonts w:ascii="仿宋" w:hAnsi="仿宋" w:eastAsia="仿宋"/>
          <w:color w:val="auto"/>
          <w:sz w:val="28"/>
          <w:szCs w:val="28"/>
        </w:rPr>
        <w:t>.2</w:t>
      </w:r>
      <w:r>
        <w:rPr>
          <w:rFonts w:hint="eastAsia" w:ascii="仿宋" w:hAnsi="仿宋" w:eastAsia="仿宋"/>
          <w:color w:val="auto"/>
          <w:sz w:val="28"/>
          <w:szCs w:val="28"/>
        </w:rPr>
        <w:t>分；获相应单位表彰的，每有一个小时志愿时记录，可以申请加0.6分。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参加学院及院级以上单位举办的志愿者服务活动，单次志愿服务时长不少于2.5小时的，可以申请按照前款第（三）项标准加分。</w:t>
      </w:r>
    </w:p>
    <w:p>
      <w:pPr>
        <w:snapToGrid w:val="0"/>
        <w:spacing w:line="500" w:lineRule="exact"/>
        <w:ind w:firstLine="560" w:firstLineChars="200"/>
        <w:rPr>
          <w:rFonts w:ascii="仿宋" w:hAnsi="仿宋" w:eastAsia="仿宋"/>
          <w:color w:val="auto"/>
          <w:sz w:val="28"/>
          <w:szCs w:val="28"/>
        </w:rPr>
      </w:pPr>
      <w:r>
        <w:rPr>
          <w:rFonts w:ascii="仿宋" w:hAnsi="仿宋" w:eastAsia="仿宋"/>
          <w:color w:val="auto"/>
          <w:sz w:val="28"/>
          <w:szCs w:val="28"/>
        </w:rPr>
        <w:t>学院及院级以上单位举办的</w:t>
      </w:r>
      <w:r>
        <w:rPr>
          <w:rFonts w:hint="eastAsia" w:ascii="仿宋" w:hAnsi="仿宋" w:eastAsia="仿宋"/>
          <w:color w:val="auto"/>
          <w:sz w:val="28"/>
          <w:szCs w:val="28"/>
        </w:rPr>
        <w:t>设奖项活动，但所设奖项不分等级的，以不设奖项的活动论。</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按照第一款第（三）、（四）项标准申请加分的，累计加分</w:t>
      </w:r>
      <w:r>
        <w:rPr>
          <w:rFonts w:ascii="仿宋" w:hAnsi="仿宋" w:eastAsia="仿宋"/>
          <w:color w:val="auto"/>
          <w:sz w:val="28"/>
          <w:szCs w:val="28"/>
        </w:rPr>
        <w:t>不得</w:t>
      </w:r>
      <w:r>
        <w:rPr>
          <w:rFonts w:hint="eastAsia" w:ascii="仿宋" w:hAnsi="仿宋" w:eastAsia="仿宋"/>
          <w:color w:val="auto"/>
          <w:sz w:val="28"/>
          <w:szCs w:val="28"/>
        </w:rPr>
        <w:t>超过5分</w:t>
      </w:r>
      <w:bookmarkStart w:id="1" w:name="_Hlk130376367"/>
      <w:r>
        <w:rPr>
          <w:rFonts w:hint="eastAsia" w:ascii="仿宋" w:hAnsi="仿宋" w:eastAsia="仿宋"/>
          <w:color w:val="auto"/>
          <w:sz w:val="28"/>
          <w:szCs w:val="28"/>
        </w:rPr>
        <w:t>。</w:t>
      </w:r>
    </w:p>
    <w:bookmarkEnd w:id="1"/>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按照第一款第（一）至（四）项标准申请加分的，须</w:t>
      </w:r>
      <w:r>
        <w:rPr>
          <w:rFonts w:ascii="仿宋" w:hAnsi="仿宋" w:eastAsia="仿宋"/>
          <w:color w:val="auto"/>
          <w:sz w:val="28"/>
          <w:szCs w:val="28"/>
        </w:rPr>
        <w:t>提供加盖相关单位公章</w:t>
      </w:r>
      <w:r>
        <w:rPr>
          <w:rFonts w:hint="eastAsia" w:ascii="仿宋" w:hAnsi="仿宋" w:eastAsia="仿宋"/>
          <w:color w:val="auto"/>
          <w:sz w:val="28"/>
          <w:szCs w:val="28"/>
        </w:rPr>
        <w:t>的</w:t>
      </w:r>
      <w:r>
        <w:rPr>
          <w:rFonts w:ascii="仿宋" w:hAnsi="仿宋" w:eastAsia="仿宋"/>
          <w:color w:val="auto"/>
          <w:sz w:val="28"/>
          <w:szCs w:val="28"/>
        </w:rPr>
        <w:t>证明材料</w:t>
      </w:r>
      <w:r>
        <w:rPr>
          <w:rFonts w:hint="eastAsia" w:ascii="仿宋" w:hAnsi="仿宋" w:eastAsia="仿宋"/>
          <w:color w:val="auto"/>
          <w:sz w:val="28"/>
          <w:szCs w:val="28"/>
        </w:rPr>
        <w:t>，或官网（官微）的通知公告、报道里提供的参与人员名单。</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参加不设奖项的活动加分上限为10分。</w:t>
      </w:r>
    </w:p>
    <w:p>
      <w:pPr>
        <w:snapToGrid w:val="0"/>
        <w:spacing w:line="500" w:lineRule="exact"/>
        <w:ind w:firstLine="562" w:firstLineChars="200"/>
        <w:rPr>
          <w:rFonts w:ascii="仿宋" w:hAnsi="仿宋" w:eastAsia="仿宋"/>
          <w:b/>
          <w:bCs/>
          <w:color w:val="auto"/>
          <w:sz w:val="28"/>
          <w:szCs w:val="28"/>
        </w:rPr>
      </w:pPr>
      <w:bookmarkStart w:id="2" w:name="_Hlk130376392"/>
      <w:r>
        <w:rPr>
          <w:rFonts w:hint="eastAsia" w:ascii="仿宋" w:hAnsi="仿宋" w:eastAsia="仿宋"/>
          <w:b/>
          <w:bCs/>
          <w:color w:val="auto"/>
          <w:sz w:val="28"/>
          <w:szCs w:val="28"/>
        </w:rPr>
        <w:t>第四十二条  【思想道德品质和社会实践分】</w:t>
      </w:r>
      <w:r>
        <w:rPr>
          <w:rFonts w:hint="eastAsia" w:ascii="仿宋" w:hAnsi="仿宋" w:eastAsia="仿宋"/>
          <w:color w:val="auto"/>
          <w:sz w:val="28"/>
          <w:szCs w:val="28"/>
        </w:rPr>
        <w:t>依据本实施细则第三十八条至第四十二条之规定申请所加分数之和，为思想道德品质和社会实践分。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评选学年度受到院级通报批评一次，思想道德品质和社会实践分扣25分，但思想道德品质和社会实践分不得低于0分。</w:t>
      </w:r>
    </w:p>
    <w:bookmarkEnd w:id="2"/>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第四十三条  【学习成绩分】</w:t>
      </w:r>
      <w:r>
        <w:rPr>
          <w:rFonts w:ascii="仿宋" w:hAnsi="仿宋" w:eastAsia="仿宋"/>
          <w:color w:val="auto"/>
          <w:sz w:val="28"/>
          <w:szCs w:val="28"/>
        </w:rPr>
        <w:t>学习成绩</w:t>
      </w:r>
      <w:r>
        <w:rPr>
          <w:rFonts w:hint="eastAsia" w:ascii="仿宋" w:hAnsi="仿宋" w:eastAsia="仿宋"/>
          <w:color w:val="auto"/>
          <w:sz w:val="28"/>
          <w:szCs w:val="28"/>
        </w:rPr>
        <w:t>分</w:t>
      </w:r>
      <w:r>
        <w:rPr>
          <w:rFonts w:ascii="仿宋" w:hAnsi="仿宋" w:eastAsia="仿宋"/>
          <w:color w:val="auto"/>
          <w:sz w:val="28"/>
          <w:szCs w:val="28"/>
        </w:rPr>
        <w:t>＝（个人</w:t>
      </w:r>
      <w:r>
        <w:rPr>
          <w:rFonts w:hint="eastAsia" w:ascii="仿宋" w:hAnsi="仿宋" w:eastAsia="仿宋"/>
          <w:color w:val="auto"/>
          <w:sz w:val="28"/>
          <w:szCs w:val="28"/>
        </w:rPr>
        <w:t>参评年度</w:t>
      </w:r>
      <w:r>
        <w:rPr>
          <w:rFonts w:ascii="仿宋" w:hAnsi="仿宋" w:eastAsia="仿宋"/>
          <w:color w:val="auto"/>
          <w:sz w:val="28"/>
          <w:szCs w:val="28"/>
        </w:rPr>
        <w:t>课程平均成绩/本年级本专业</w:t>
      </w:r>
      <w:r>
        <w:rPr>
          <w:rFonts w:hint="eastAsia" w:ascii="仿宋" w:hAnsi="仿宋" w:eastAsia="仿宋"/>
          <w:color w:val="auto"/>
          <w:sz w:val="28"/>
          <w:szCs w:val="28"/>
        </w:rPr>
        <w:t>研究生</w:t>
      </w:r>
      <w:r>
        <w:rPr>
          <w:rFonts w:ascii="仿宋" w:hAnsi="仿宋" w:eastAsia="仿宋"/>
          <w:color w:val="auto"/>
          <w:sz w:val="28"/>
          <w:szCs w:val="28"/>
        </w:rPr>
        <w:t>最高</w:t>
      </w:r>
      <w:r>
        <w:rPr>
          <w:rFonts w:hint="eastAsia" w:ascii="仿宋" w:hAnsi="仿宋" w:eastAsia="仿宋"/>
          <w:color w:val="auto"/>
          <w:sz w:val="28"/>
          <w:szCs w:val="28"/>
        </w:rPr>
        <w:t>参评年度</w:t>
      </w:r>
      <w:r>
        <w:rPr>
          <w:rFonts w:ascii="仿宋" w:hAnsi="仿宋" w:eastAsia="仿宋"/>
          <w:color w:val="auto"/>
          <w:sz w:val="28"/>
          <w:szCs w:val="28"/>
        </w:rPr>
        <w:t>课程平均成绩）×100。</w:t>
      </w:r>
    </w:p>
    <w:p>
      <w:pPr>
        <w:snapToGrid w:val="0"/>
        <w:spacing w:line="500" w:lineRule="exact"/>
        <w:ind w:firstLine="560" w:firstLineChars="200"/>
        <w:rPr>
          <w:rFonts w:ascii="仿宋" w:hAnsi="仿宋" w:eastAsia="仿宋"/>
          <w:color w:val="auto"/>
          <w:sz w:val="28"/>
          <w:szCs w:val="28"/>
        </w:rPr>
      </w:pPr>
      <w:bookmarkStart w:id="3" w:name="_Hlk130376410"/>
      <w:r>
        <w:rPr>
          <w:rFonts w:hint="eastAsia" w:ascii="仿宋" w:hAnsi="仿宋" w:eastAsia="仿宋"/>
          <w:color w:val="auto"/>
          <w:sz w:val="28"/>
          <w:szCs w:val="28"/>
        </w:rPr>
        <w:t>所属专业参评年度无课程的</w:t>
      </w:r>
      <w:r>
        <w:rPr>
          <w:rFonts w:ascii="仿宋" w:hAnsi="仿宋" w:eastAsia="仿宋"/>
          <w:color w:val="auto"/>
          <w:sz w:val="28"/>
          <w:szCs w:val="28"/>
        </w:rPr>
        <w:t>，</w:t>
      </w:r>
      <w:r>
        <w:rPr>
          <w:rFonts w:hint="eastAsia" w:ascii="仿宋" w:hAnsi="仿宋" w:eastAsia="仿宋"/>
          <w:color w:val="auto"/>
          <w:sz w:val="28"/>
          <w:szCs w:val="28"/>
        </w:rPr>
        <w:t>学习成绩分以</w:t>
      </w:r>
      <w:r>
        <w:rPr>
          <w:rFonts w:ascii="仿宋" w:hAnsi="仿宋" w:eastAsia="仿宋"/>
          <w:color w:val="auto"/>
          <w:sz w:val="28"/>
          <w:szCs w:val="28"/>
        </w:rPr>
        <w:t>100分</w:t>
      </w:r>
      <w:r>
        <w:rPr>
          <w:rFonts w:hint="eastAsia" w:ascii="仿宋" w:hAnsi="仿宋" w:eastAsia="仿宋"/>
          <w:color w:val="auto"/>
          <w:sz w:val="28"/>
          <w:szCs w:val="28"/>
        </w:rPr>
        <w:t>论</w:t>
      </w:r>
      <w:r>
        <w:rPr>
          <w:rFonts w:ascii="仿宋" w:hAnsi="仿宋" w:eastAsia="仿宋"/>
          <w:color w:val="auto"/>
          <w:sz w:val="28"/>
          <w:szCs w:val="28"/>
        </w:rPr>
        <w:t>。</w:t>
      </w:r>
    </w:p>
    <w:p>
      <w:pPr>
        <w:snapToGrid w:val="0"/>
        <w:spacing w:line="500" w:lineRule="exact"/>
        <w:ind w:firstLine="560" w:firstLineChars="200"/>
        <w:rPr>
          <w:rFonts w:ascii="宋体" w:hAnsi="宋体" w:eastAsia="宋体"/>
          <w:color w:val="auto"/>
          <w:sz w:val="28"/>
          <w:szCs w:val="28"/>
        </w:rPr>
      </w:pPr>
      <w:r>
        <w:rPr>
          <w:rFonts w:ascii="仿宋" w:hAnsi="仿宋" w:eastAsia="仿宋"/>
          <w:color w:val="auto"/>
          <w:sz w:val="28"/>
          <w:szCs w:val="28"/>
        </w:rPr>
        <w:t>申请一等</w:t>
      </w:r>
      <w:r>
        <w:rPr>
          <w:rFonts w:hint="eastAsia" w:ascii="仿宋" w:hAnsi="仿宋" w:eastAsia="仿宋"/>
          <w:color w:val="auto"/>
          <w:sz w:val="28"/>
          <w:szCs w:val="28"/>
        </w:rPr>
        <w:t>学业</w:t>
      </w:r>
      <w:r>
        <w:rPr>
          <w:rFonts w:ascii="仿宋" w:hAnsi="仿宋" w:eastAsia="仿宋"/>
          <w:color w:val="auto"/>
          <w:sz w:val="28"/>
          <w:szCs w:val="28"/>
        </w:rPr>
        <w:t>奖学金</w:t>
      </w:r>
      <w:r>
        <w:rPr>
          <w:rFonts w:hint="eastAsia" w:ascii="仿宋" w:hAnsi="仿宋" w:eastAsia="仿宋"/>
          <w:color w:val="auto"/>
          <w:sz w:val="28"/>
          <w:szCs w:val="28"/>
        </w:rPr>
        <w:t>的</w:t>
      </w:r>
      <w:r>
        <w:rPr>
          <w:rFonts w:ascii="仿宋" w:hAnsi="仿宋" w:eastAsia="仿宋"/>
          <w:color w:val="auto"/>
          <w:sz w:val="28"/>
          <w:szCs w:val="28"/>
        </w:rPr>
        <w:t>，</w:t>
      </w:r>
      <w:r>
        <w:rPr>
          <w:rFonts w:hint="eastAsia" w:ascii="仿宋" w:hAnsi="仿宋" w:eastAsia="仿宋"/>
          <w:color w:val="auto"/>
          <w:sz w:val="28"/>
          <w:szCs w:val="28"/>
        </w:rPr>
        <w:t>个人参评年度课程</w:t>
      </w:r>
      <w:r>
        <w:rPr>
          <w:rFonts w:ascii="仿宋" w:hAnsi="仿宋" w:eastAsia="仿宋"/>
          <w:color w:val="auto"/>
          <w:sz w:val="28"/>
          <w:szCs w:val="28"/>
        </w:rPr>
        <w:t>单科成绩不得低于80分。</w:t>
      </w:r>
    </w:p>
    <w:bookmarkEnd w:id="3"/>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第四十四条  【发表学术论文与出版著作加分】</w:t>
      </w:r>
      <w:r>
        <w:rPr>
          <w:rFonts w:hint="eastAsia" w:ascii="仿宋" w:hAnsi="仿宋" w:eastAsia="仿宋"/>
          <w:color w:val="auto"/>
          <w:sz w:val="28"/>
          <w:szCs w:val="28"/>
        </w:rPr>
        <w:t>本学年</w:t>
      </w:r>
      <w:r>
        <w:rPr>
          <w:rFonts w:ascii="仿宋" w:hAnsi="仿宋" w:eastAsia="仿宋"/>
          <w:color w:val="auto"/>
          <w:sz w:val="28"/>
          <w:szCs w:val="28"/>
        </w:rPr>
        <w:t>发表学术论文与出版著作</w:t>
      </w:r>
      <w:r>
        <w:rPr>
          <w:rFonts w:hint="eastAsia" w:ascii="仿宋" w:hAnsi="仿宋" w:eastAsia="仿宋"/>
          <w:color w:val="auto"/>
          <w:sz w:val="28"/>
          <w:szCs w:val="28"/>
        </w:rPr>
        <w:t>的，可以按照以下标准申请发表学术论文与出版著作加分：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（一）在学术刊物上发表学术论文的，</w:t>
      </w:r>
      <w:bookmarkStart w:id="4" w:name="_Hlk150108340"/>
      <w:r>
        <w:rPr>
          <w:rFonts w:hint="eastAsia" w:ascii="仿宋" w:hAnsi="仿宋" w:eastAsia="仿宋"/>
          <w:color w:val="auto"/>
          <w:sz w:val="28"/>
          <w:szCs w:val="28"/>
        </w:rPr>
        <w:t>按照以下标准加分：</w:t>
      </w:r>
      <w:bookmarkEnd w:id="4"/>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106"/>
        <w:gridCol w:w="2106"/>
        <w:gridCol w:w="2106"/>
        <w:gridCol w:w="21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b/>
                <w:bCs/>
                <w:color w:val="auto"/>
                <w:sz w:val="28"/>
                <w:szCs w:val="28"/>
              </w:rPr>
            </w:pPr>
            <w:bookmarkStart w:id="5" w:name="_Hlk150108363"/>
            <w:r>
              <w:rPr>
                <w:rFonts w:hint="eastAsia" w:ascii="仿宋" w:hAnsi="仿宋" w:eastAsia="仿宋"/>
                <w:b/>
                <w:bCs/>
                <w:color w:val="auto"/>
                <w:sz w:val="28"/>
                <w:szCs w:val="28"/>
              </w:rPr>
              <w:t>类别</w:t>
            </w:r>
          </w:p>
        </w:tc>
        <w:tc>
          <w:tcPr>
            <w:tcW w:w="2106"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第一作者或通讯作者</w:t>
            </w:r>
          </w:p>
        </w:tc>
        <w:tc>
          <w:tcPr>
            <w:tcW w:w="2106"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第二作者</w:t>
            </w:r>
          </w:p>
        </w:tc>
        <w:tc>
          <w:tcPr>
            <w:tcW w:w="2108" w:type="dxa"/>
            <w:vAlign w:val="center"/>
          </w:tcPr>
          <w:p>
            <w:pPr>
              <w:snapToGrid w:val="0"/>
              <w:jc w:val="center"/>
              <w:rPr>
                <w:rFonts w:ascii="宋体" w:hAnsi="宋体" w:eastAsia="宋体"/>
                <w:b/>
                <w:bCs/>
                <w:color w:val="auto"/>
                <w:sz w:val="28"/>
                <w:szCs w:val="28"/>
              </w:rPr>
            </w:pPr>
            <w:r>
              <w:rPr>
                <w:rFonts w:hint="eastAsia" w:ascii="仿宋" w:hAnsi="仿宋" w:eastAsia="仿宋" w:cs="仿宋"/>
                <w:b/>
                <w:bCs/>
                <w:color w:val="auto"/>
                <w:sz w:val="28"/>
                <w:szCs w:val="28"/>
              </w:rPr>
              <w:t>第三作者及排名在第三作者之后的其他作者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T1类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30</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T2类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24</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A类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18</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B类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25</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15</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C类</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12</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106"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一般学术刊物（有ISSN刊号）或论文集（有ISBN号）</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10</w:t>
            </w:r>
          </w:p>
        </w:tc>
        <w:tc>
          <w:tcPr>
            <w:tcW w:w="2106"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2108"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bookmarkEnd w:id="5"/>
    </w:tbl>
    <w:p>
      <w:pPr>
        <w:snapToGrid w:val="0"/>
        <w:spacing w:line="500" w:lineRule="exact"/>
        <w:rPr>
          <w:rFonts w:hint="eastAsia" w:ascii="仿宋" w:hAnsi="仿宋" w:eastAsia="仿宋"/>
          <w:color w:val="auto"/>
          <w:sz w:val="28"/>
          <w:szCs w:val="28"/>
          <w:lang w:eastAsia="zh-CN"/>
        </w:rPr>
      </w:pPr>
      <w:bookmarkStart w:id="6" w:name="_Hlk130376441"/>
      <w:r>
        <w:rPr>
          <w:rFonts w:hint="eastAsia" w:ascii="仿宋" w:hAnsi="仿宋" w:eastAsia="仿宋"/>
          <w:color w:val="auto"/>
          <w:sz w:val="28"/>
          <w:szCs w:val="28"/>
        </w:rPr>
        <w:t>与导师共同发表论文，导师为第一作者的，学生向前顺延一位。申请依照</w:t>
      </w:r>
      <w:r>
        <w:rPr>
          <w:rFonts w:hint="eastAsia" w:ascii="仿宋" w:hAnsi="仿宋" w:eastAsia="仿宋"/>
          <w:color w:val="auto"/>
          <w:sz w:val="28"/>
          <w:szCs w:val="28"/>
          <w:lang w:eastAsia="zh-CN"/>
        </w:rPr>
        <w:t>本项</w:t>
      </w:r>
      <w:r>
        <w:rPr>
          <w:rFonts w:hint="eastAsia" w:ascii="仿宋" w:hAnsi="仿宋" w:eastAsia="仿宋"/>
          <w:color w:val="auto"/>
          <w:sz w:val="28"/>
          <w:szCs w:val="28"/>
        </w:rPr>
        <w:t>规定加分的，</w:t>
      </w:r>
      <w:r>
        <w:rPr>
          <w:rFonts w:ascii="仿宋" w:hAnsi="仿宋" w:eastAsia="仿宋"/>
          <w:color w:val="auto"/>
          <w:sz w:val="28"/>
          <w:szCs w:val="28"/>
        </w:rPr>
        <w:t>须提交</w:t>
      </w:r>
      <w:r>
        <w:rPr>
          <w:rFonts w:hint="eastAsia" w:ascii="仿宋" w:hAnsi="仿宋" w:eastAsia="仿宋"/>
          <w:color w:val="auto"/>
          <w:sz w:val="28"/>
          <w:szCs w:val="28"/>
        </w:rPr>
        <w:t>与所申报加分项目有关的论文作者页、论文所载刊物的封面及目录的复印件</w:t>
      </w:r>
      <w:r>
        <w:rPr>
          <w:rFonts w:hint="eastAsia" w:ascii="仿宋" w:hAnsi="仿宋" w:eastAsia="仿宋"/>
          <w:color w:val="auto"/>
          <w:sz w:val="28"/>
          <w:szCs w:val="28"/>
          <w:lang w:eastAsia="zh-CN"/>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（二）出版一部著作，有</w:t>
      </w:r>
      <w:r>
        <w:rPr>
          <w:rFonts w:ascii="仿宋" w:hAnsi="仿宋" w:eastAsia="仿宋"/>
          <w:color w:val="auto"/>
          <w:sz w:val="28"/>
          <w:szCs w:val="28"/>
        </w:rPr>
        <w:t>ISBN</w:t>
      </w:r>
      <w:r>
        <w:rPr>
          <w:rFonts w:hint="eastAsia" w:ascii="仿宋" w:hAnsi="仿宋" w:eastAsia="仿宋"/>
          <w:color w:val="auto"/>
          <w:sz w:val="28"/>
          <w:szCs w:val="28"/>
        </w:rPr>
        <w:t>号且字数达到10万字以上的，按照以下标准加分：</w:t>
      </w:r>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类别</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 xml:space="preserve">主 </w:t>
            </w:r>
            <w:r>
              <w:rPr>
                <w:rFonts w:ascii="仿宋" w:hAnsi="仿宋" w:eastAsia="仿宋"/>
                <w:color w:val="auto"/>
                <w:sz w:val="28"/>
                <w:szCs w:val="28"/>
              </w:rPr>
              <w:t xml:space="preserve"> </w:t>
            </w:r>
            <w:r>
              <w:rPr>
                <w:rFonts w:hint="eastAsia" w:ascii="仿宋" w:hAnsi="仿宋" w:eastAsia="仿宋"/>
                <w:color w:val="auto"/>
                <w:sz w:val="28"/>
                <w:szCs w:val="28"/>
              </w:rPr>
              <w:t>编</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副主编</w:t>
            </w:r>
          </w:p>
        </w:tc>
        <w:tc>
          <w:tcPr>
            <w:tcW w:w="2073"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参编者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20</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10</w:t>
            </w:r>
          </w:p>
        </w:tc>
        <w:tc>
          <w:tcPr>
            <w:tcW w:w="2073"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2</w:t>
            </w:r>
          </w:p>
        </w:tc>
      </w:tr>
      <w:bookmarkEnd w:id="6"/>
    </w:tbl>
    <w:p>
      <w:pPr>
        <w:snapToGrid w:val="0"/>
        <w:spacing w:line="500" w:lineRule="exact"/>
        <w:rPr>
          <w:rFonts w:ascii="仿宋" w:hAnsi="仿宋" w:eastAsia="仿宋"/>
          <w:color w:val="auto"/>
          <w:sz w:val="28"/>
          <w:szCs w:val="28"/>
        </w:rPr>
      </w:pPr>
      <w:bookmarkStart w:id="7" w:name="_Hlk130376457"/>
      <w:r>
        <w:rPr>
          <w:rFonts w:hint="eastAsia" w:ascii="仿宋" w:hAnsi="仿宋" w:eastAsia="仿宋"/>
          <w:color w:val="auto"/>
          <w:sz w:val="28"/>
          <w:szCs w:val="28"/>
          <w:lang w:eastAsia="zh-CN"/>
        </w:rPr>
        <w:t>申请</w:t>
      </w:r>
      <w:r>
        <w:rPr>
          <w:rFonts w:hint="eastAsia" w:ascii="仿宋" w:hAnsi="仿宋" w:eastAsia="仿宋"/>
          <w:color w:val="auto"/>
          <w:sz w:val="28"/>
          <w:szCs w:val="28"/>
        </w:rPr>
        <w:t>依照</w:t>
      </w:r>
      <w:r>
        <w:rPr>
          <w:rFonts w:hint="eastAsia" w:ascii="仿宋" w:hAnsi="仿宋" w:eastAsia="仿宋"/>
          <w:color w:val="auto"/>
          <w:sz w:val="28"/>
          <w:szCs w:val="28"/>
          <w:lang w:eastAsia="zh-CN"/>
        </w:rPr>
        <w:t>本项</w:t>
      </w:r>
      <w:r>
        <w:rPr>
          <w:rFonts w:hint="eastAsia" w:ascii="仿宋" w:hAnsi="仿宋" w:eastAsia="仿宋"/>
          <w:color w:val="auto"/>
          <w:sz w:val="28"/>
          <w:szCs w:val="28"/>
        </w:rPr>
        <w:t>规定加分的，</w:t>
      </w:r>
      <w:r>
        <w:rPr>
          <w:rFonts w:ascii="仿宋" w:hAnsi="仿宋" w:eastAsia="仿宋"/>
          <w:color w:val="auto"/>
          <w:sz w:val="28"/>
          <w:szCs w:val="28"/>
        </w:rPr>
        <w:t>须提交</w:t>
      </w:r>
      <w:r>
        <w:rPr>
          <w:rFonts w:hint="eastAsia" w:ascii="仿宋" w:hAnsi="仿宋" w:eastAsia="仿宋"/>
          <w:color w:val="auto"/>
          <w:sz w:val="28"/>
          <w:szCs w:val="28"/>
        </w:rPr>
        <w:t>著作封面及版权页的复印件</w:t>
      </w:r>
      <w:r>
        <w:rPr>
          <w:rFonts w:ascii="仿宋" w:hAnsi="仿宋" w:eastAsia="仿宋"/>
          <w:color w:val="auto"/>
          <w:sz w:val="28"/>
          <w:szCs w:val="28"/>
        </w:rPr>
        <w:t>。</w:t>
      </w:r>
    </w:p>
    <w:bookmarkEnd w:id="7"/>
    <w:p>
      <w:pPr>
        <w:snapToGrid w:val="0"/>
        <w:spacing w:line="500" w:lineRule="exact"/>
        <w:rPr>
          <w:rFonts w:ascii="仿宋" w:hAnsi="仿宋" w:eastAsia="仿宋"/>
          <w:color w:val="auto"/>
          <w:sz w:val="28"/>
          <w:szCs w:val="28"/>
        </w:rPr>
      </w:pPr>
      <w:bookmarkStart w:id="8" w:name="_Hlk130376497"/>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b/>
          <w:bCs/>
          <w:color w:val="auto"/>
          <w:sz w:val="28"/>
          <w:szCs w:val="28"/>
        </w:rPr>
        <w:t>第四十五条  【主持或参与科研课题研究和科技创新创业项目加分】</w:t>
      </w:r>
      <w:r>
        <w:rPr>
          <w:rFonts w:hint="eastAsia" w:ascii="仿宋" w:hAnsi="仿宋" w:eastAsia="仿宋"/>
          <w:color w:val="auto"/>
          <w:sz w:val="28"/>
          <w:szCs w:val="28"/>
        </w:rPr>
        <w:t>主持或参与科研课题研究和科技创新创业项目的，可以按照以下标准申请主持或参与科研课题研究和科技创新创业项目加分：</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41"/>
        <w:gridCol w:w="1622"/>
        <w:gridCol w:w="1001"/>
        <w:gridCol w:w="1001"/>
        <w:gridCol w:w="1001"/>
        <w:gridCol w:w="1001"/>
        <w:gridCol w:w="15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b/>
                <w:bCs/>
                <w:color w:val="auto"/>
                <w:kern w:val="0"/>
                <w:sz w:val="28"/>
                <w:szCs w:val="28"/>
              </w:rPr>
              <w:t>项目层次</w:t>
            </w:r>
          </w:p>
        </w:tc>
        <w:tc>
          <w:tcPr>
            <w:tcW w:w="0" w:type="auto"/>
            <w:shd w:val="clear" w:color="auto" w:fill="auto"/>
            <w:noWrap/>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排名第1</w:t>
            </w:r>
          </w:p>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（主持者）</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排名第2</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排名第3</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排名第4</w:t>
            </w:r>
          </w:p>
        </w:tc>
        <w:tc>
          <w:tcPr>
            <w:tcW w:w="1001" w:type="dxa"/>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排名第5</w:t>
            </w:r>
          </w:p>
        </w:tc>
        <w:tc>
          <w:tcPr>
            <w:tcW w:w="0" w:type="auto"/>
            <w:vAlign w:val="center"/>
          </w:tcPr>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排名第6</w:t>
            </w:r>
          </w:p>
          <w:p>
            <w:pPr>
              <w:widowControl/>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及以上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T0类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40</w:t>
            </w:r>
          </w:p>
        </w:tc>
        <w:tc>
          <w:tcPr>
            <w:tcW w:w="4004" w:type="dxa"/>
            <w:gridSpan w:val="4"/>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28</w:t>
            </w:r>
          </w:p>
        </w:tc>
        <w:tc>
          <w:tcPr>
            <w:tcW w:w="0" w:type="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T1类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30</w:t>
            </w:r>
          </w:p>
        </w:tc>
        <w:tc>
          <w:tcPr>
            <w:tcW w:w="4004" w:type="dxa"/>
            <w:gridSpan w:val="4"/>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21</w:t>
            </w:r>
          </w:p>
        </w:tc>
        <w:tc>
          <w:tcPr>
            <w:tcW w:w="0" w:type="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A类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17.5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17.5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c>
          <w:tcPr>
            <w:tcW w:w="156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B类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20</w:t>
            </w:r>
          </w:p>
        </w:tc>
        <w:tc>
          <w:tcPr>
            <w:tcW w:w="0" w:type="auto"/>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14</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00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c>
          <w:tcPr>
            <w:tcW w:w="1561" w:type="dxa"/>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C类</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15</w:t>
            </w:r>
          </w:p>
        </w:tc>
        <w:tc>
          <w:tcPr>
            <w:tcW w:w="5565" w:type="dxa"/>
            <w:gridSpan w:val="5"/>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校级</w:t>
            </w:r>
          </w:p>
        </w:tc>
        <w:tc>
          <w:tcPr>
            <w:tcW w:w="0" w:type="auto"/>
            <w:shd w:val="clear" w:color="auto" w:fill="auto"/>
            <w:noWrap/>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10</w:t>
            </w:r>
          </w:p>
        </w:tc>
        <w:tc>
          <w:tcPr>
            <w:tcW w:w="5565" w:type="dxa"/>
            <w:gridSpan w:val="5"/>
            <w:vAlign w:val="center"/>
          </w:tcPr>
          <w:p>
            <w:pPr>
              <w:widowControl/>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w:t>
            </w:r>
          </w:p>
        </w:tc>
      </w:tr>
    </w:tbl>
    <w:p>
      <w:pPr>
        <w:snapToGrid w:val="0"/>
        <w:spacing w:line="500" w:lineRule="exact"/>
        <w:rPr>
          <w:rFonts w:ascii="仿宋" w:hAnsi="仿宋" w:eastAsia="仿宋"/>
          <w:color w:val="auto"/>
          <w:sz w:val="28"/>
          <w:szCs w:val="28"/>
        </w:rPr>
      </w:pPr>
      <w:r>
        <w:rPr>
          <w:rFonts w:hint="eastAsia" w:ascii="仿宋" w:hAnsi="仿宋" w:eastAsia="仿宋"/>
          <w:color w:val="auto"/>
          <w:sz w:val="28"/>
          <w:szCs w:val="28"/>
        </w:rPr>
        <w:t>项目层次界定标准参照《华南农业大学学术业绩评价体系（试行）》（华南农办〔2021〕79号）。</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同一项目符合多个层次的，以符合较高层次论。</w:t>
      </w:r>
    </w:p>
    <w:p>
      <w:pPr>
        <w:snapToGrid w:val="0"/>
        <w:spacing w:line="500" w:lineRule="exact"/>
        <w:ind w:firstLine="560" w:firstLineChars="200"/>
        <w:rPr>
          <w:color w:val="auto"/>
        </w:rPr>
      </w:pPr>
      <w:r>
        <w:rPr>
          <w:rFonts w:hint="eastAsia" w:ascii="仿宋" w:hAnsi="仿宋" w:eastAsia="仿宋"/>
          <w:color w:val="auto"/>
          <w:sz w:val="28"/>
          <w:szCs w:val="28"/>
        </w:rPr>
        <w:t>所主持或参与的科研课题研究和科技创新创业项目，项目下达通知时间须在参评年度内。</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申请依照本条规定加分的，须提交立项申报书的复印件、科研系统的导出证明，其中须带有水印或加盖公章的项目参与者页。</w:t>
      </w:r>
    </w:p>
    <w:bookmarkEnd w:id="8"/>
    <w:p>
      <w:pPr>
        <w:snapToGrid w:val="0"/>
        <w:spacing w:after="156" w:afterLines="50"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第四十六条  【参加学科竞赛、</w:t>
      </w:r>
      <w:r>
        <w:rPr>
          <w:rFonts w:ascii="仿宋" w:hAnsi="仿宋" w:eastAsia="仿宋"/>
          <w:b/>
          <w:bCs/>
          <w:color w:val="auto"/>
          <w:sz w:val="28"/>
          <w:szCs w:val="28"/>
        </w:rPr>
        <w:t>创新创业类竞赛</w:t>
      </w:r>
      <w:r>
        <w:rPr>
          <w:rFonts w:hint="eastAsia" w:ascii="仿宋" w:hAnsi="仿宋" w:eastAsia="仿宋"/>
          <w:b/>
          <w:bCs/>
          <w:color w:val="auto"/>
          <w:sz w:val="28"/>
          <w:szCs w:val="28"/>
        </w:rPr>
        <w:t>获奖加分】</w:t>
      </w:r>
      <w:r>
        <w:rPr>
          <w:rFonts w:hint="eastAsia" w:ascii="仿宋" w:hAnsi="仿宋" w:eastAsia="仿宋"/>
          <w:color w:val="auto"/>
          <w:sz w:val="28"/>
          <w:szCs w:val="28"/>
        </w:rPr>
        <w:t>参加学科竞赛、“丁颖杯”“攀登计划”等创新创业类竞赛获奖的，可以按照以下标准申请参加学科竞赛、创新创业类竞赛获奖加分：</w:t>
      </w:r>
    </w:p>
    <w:tbl>
      <w:tblPr>
        <w:tblStyle w:val="8"/>
        <w:tblpPr w:leftFromText="180" w:rightFromText="180" w:vertAnchor="text" w:horzAnchor="page" w:tblpXSpec="center" w:tblpY="15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60" w:type="dxa"/>
          <w:bottom w:w="120" w:type="dxa"/>
          <w:right w:w="60" w:type="dxa"/>
        </w:tblCellMar>
      </w:tblPr>
      <w:tblGrid>
        <w:gridCol w:w="1364"/>
        <w:gridCol w:w="2020"/>
        <w:gridCol w:w="2204"/>
        <w:gridCol w:w="2400"/>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个人竞赛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10</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8</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6</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Times New Roman"/>
                <w:color w:val="auto"/>
                <w:sz w:val="28"/>
                <w:szCs w:val="28"/>
              </w:rPr>
            </w:pPr>
            <w:r>
              <w:rPr>
                <w:rFonts w:ascii="Times New Roman" w:hAnsi="Times New Roman" w:eastAsia="Times New Roman"/>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5000" w:type="pct"/>
            <w:gridSpan w:val="5"/>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b/>
                <w:bCs/>
                <w:color w:val="auto"/>
                <w:sz w:val="28"/>
                <w:szCs w:val="28"/>
              </w:rPr>
              <w:t>团队竞赛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等级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一等奖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（第1、2名）</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二等奖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（第3、4、5名）</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三等奖</w:t>
            </w:r>
          </w:p>
          <w:p>
            <w:pPr>
              <w:snapToGrid w:val="0"/>
              <w:jc w:val="center"/>
              <w:rPr>
                <w:rFonts w:ascii="仿宋" w:hAnsi="仿宋" w:eastAsia="仿宋"/>
                <w:b/>
                <w:bCs/>
                <w:color w:val="auto"/>
                <w:sz w:val="28"/>
                <w:szCs w:val="28"/>
              </w:rPr>
            </w:pPr>
            <w:r>
              <w:rPr>
                <w:rFonts w:hint="eastAsia" w:ascii="仿宋" w:hAnsi="仿宋" w:eastAsia="仿宋"/>
                <w:b/>
                <w:bCs/>
                <w:color w:val="auto"/>
                <w:sz w:val="24"/>
                <w:szCs w:val="24"/>
              </w:rPr>
              <w:t>（第6、7、8名）</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国家级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省部级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ascii="仿宋" w:hAnsi="仿宋" w:eastAsia="仿宋"/>
                <w:b/>
                <w:bCs/>
                <w:color w:val="auto"/>
                <w:sz w:val="28"/>
                <w:szCs w:val="28"/>
              </w:rPr>
              <w:t>市、校级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42"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院级</w:t>
            </w:r>
          </w:p>
        </w:tc>
        <w:tc>
          <w:tcPr>
            <w:tcW w:w="10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p>
        </w:tc>
        <w:tc>
          <w:tcPr>
            <w:tcW w:w="1199"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c>
          <w:tcPr>
            <w:tcW w:w="1306"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0.5</w:t>
            </w:r>
          </w:p>
        </w:tc>
        <w:tc>
          <w:tcPr>
            <w:tcW w:w="654" w:type="pct"/>
            <w:tcBorders>
              <w:top w:val="single" w:color="000000" w:sz="8" w:space="0"/>
              <w:left w:val="single" w:color="000000" w:sz="8" w:space="0"/>
              <w:bottom w:val="single" w:color="000000" w:sz="8" w:space="0"/>
              <w:right w:val="single" w:color="000000" w:sz="8" w:space="0"/>
            </w:tcBorders>
            <w:tcMar>
              <w:top w:w="57" w:type="dxa"/>
              <w:bottom w:w="57" w:type="dxa"/>
            </w:tcMar>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w:t>
            </w:r>
          </w:p>
        </w:tc>
      </w:tr>
    </w:tbl>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第四十七条  【</w:t>
      </w:r>
      <w:r>
        <w:rPr>
          <w:rFonts w:ascii="仿宋" w:hAnsi="仿宋" w:eastAsia="仿宋"/>
          <w:b/>
          <w:bCs/>
          <w:color w:val="auto"/>
          <w:sz w:val="28"/>
          <w:szCs w:val="28"/>
        </w:rPr>
        <w:t>参加学术</w:t>
      </w:r>
      <w:r>
        <w:rPr>
          <w:rFonts w:hint="eastAsia" w:ascii="仿宋" w:hAnsi="仿宋" w:eastAsia="仿宋"/>
          <w:b/>
          <w:bCs/>
          <w:color w:val="auto"/>
          <w:sz w:val="28"/>
          <w:szCs w:val="28"/>
        </w:rPr>
        <w:t>讲座、</w:t>
      </w:r>
      <w:r>
        <w:rPr>
          <w:rFonts w:ascii="仿宋" w:hAnsi="仿宋" w:eastAsia="仿宋"/>
          <w:b/>
          <w:bCs/>
          <w:color w:val="auto"/>
          <w:sz w:val="28"/>
          <w:szCs w:val="28"/>
        </w:rPr>
        <w:t>学术</w:t>
      </w:r>
      <w:r>
        <w:rPr>
          <w:rFonts w:hint="eastAsia" w:ascii="仿宋" w:hAnsi="仿宋" w:eastAsia="仿宋"/>
          <w:b/>
          <w:bCs/>
          <w:color w:val="auto"/>
          <w:sz w:val="28"/>
          <w:szCs w:val="28"/>
        </w:rPr>
        <w:t>会议或</w:t>
      </w:r>
      <w:r>
        <w:rPr>
          <w:rFonts w:ascii="仿宋" w:hAnsi="仿宋" w:eastAsia="仿宋"/>
          <w:b/>
          <w:bCs/>
          <w:color w:val="auto"/>
          <w:sz w:val="28"/>
          <w:szCs w:val="28"/>
        </w:rPr>
        <w:t>学术报告加分</w:t>
      </w:r>
      <w:r>
        <w:rPr>
          <w:rFonts w:hint="eastAsia" w:ascii="仿宋" w:hAnsi="仿宋" w:eastAsia="仿宋"/>
          <w:b/>
          <w:bCs/>
          <w:color w:val="auto"/>
          <w:sz w:val="28"/>
          <w:szCs w:val="28"/>
        </w:rPr>
        <w:t>】</w:t>
      </w:r>
      <w:r>
        <w:rPr>
          <w:rFonts w:ascii="仿宋" w:hAnsi="仿宋" w:eastAsia="仿宋"/>
          <w:color w:val="auto"/>
          <w:sz w:val="28"/>
          <w:szCs w:val="28"/>
        </w:rPr>
        <w:t>参加学术</w:t>
      </w:r>
      <w:r>
        <w:rPr>
          <w:rFonts w:hint="eastAsia" w:ascii="仿宋" w:hAnsi="仿宋" w:eastAsia="仿宋"/>
          <w:color w:val="auto"/>
          <w:sz w:val="28"/>
          <w:szCs w:val="28"/>
        </w:rPr>
        <w:t>讲座、</w:t>
      </w:r>
      <w:r>
        <w:rPr>
          <w:rFonts w:ascii="仿宋" w:hAnsi="仿宋" w:eastAsia="仿宋"/>
          <w:color w:val="auto"/>
          <w:sz w:val="28"/>
          <w:szCs w:val="28"/>
        </w:rPr>
        <w:t>学术</w:t>
      </w:r>
      <w:r>
        <w:rPr>
          <w:rFonts w:hint="eastAsia" w:ascii="仿宋" w:hAnsi="仿宋" w:eastAsia="仿宋"/>
          <w:color w:val="auto"/>
          <w:sz w:val="28"/>
          <w:szCs w:val="28"/>
        </w:rPr>
        <w:t>会议或</w:t>
      </w:r>
      <w:r>
        <w:rPr>
          <w:rFonts w:ascii="仿宋" w:hAnsi="仿宋" w:eastAsia="仿宋"/>
          <w:color w:val="auto"/>
          <w:sz w:val="28"/>
          <w:szCs w:val="28"/>
        </w:rPr>
        <w:t>学术报告</w:t>
      </w:r>
      <w:r>
        <w:rPr>
          <w:rFonts w:hint="eastAsia" w:ascii="仿宋" w:hAnsi="仿宋" w:eastAsia="仿宋"/>
          <w:color w:val="auto"/>
          <w:sz w:val="28"/>
          <w:szCs w:val="28"/>
        </w:rPr>
        <w:t>的，可以按照以下标准申请加分：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（一）</w:t>
      </w:r>
      <w:r>
        <w:rPr>
          <w:rFonts w:ascii="仿宋" w:hAnsi="仿宋" w:eastAsia="仿宋"/>
          <w:color w:val="auto"/>
          <w:sz w:val="28"/>
          <w:szCs w:val="28"/>
        </w:rPr>
        <w:t>参加</w:t>
      </w:r>
      <w:r>
        <w:rPr>
          <w:rFonts w:hint="eastAsia" w:ascii="仿宋" w:hAnsi="仿宋" w:eastAsia="仿宋"/>
          <w:color w:val="auto"/>
          <w:sz w:val="28"/>
          <w:szCs w:val="28"/>
        </w:rPr>
        <w:t>一次</w:t>
      </w:r>
      <w:r>
        <w:rPr>
          <w:rFonts w:ascii="仿宋" w:hAnsi="仿宋" w:eastAsia="仿宋"/>
          <w:color w:val="auto"/>
          <w:sz w:val="28"/>
          <w:szCs w:val="28"/>
        </w:rPr>
        <w:t>校内线下学术</w:t>
      </w:r>
      <w:r>
        <w:rPr>
          <w:rFonts w:hint="eastAsia" w:ascii="仿宋" w:hAnsi="仿宋" w:eastAsia="仿宋"/>
          <w:color w:val="auto"/>
          <w:sz w:val="28"/>
          <w:szCs w:val="28"/>
        </w:rPr>
        <w:t>讲座、</w:t>
      </w:r>
      <w:r>
        <w:rPr>
          <w:rFonts w:ascii="仿宋" w:hAnsi="仿宋" w:eastAsia="仿宋"/>
          <w:color w:val="auto"/>
          <w:sz w:val="28"/>
          <w:szCs w:val="28"/>
        </w:rPr>
        <w:t>学术</w:t>
      </w:r>
      <w:r>
        <w:rPr>
          <w:rFonts w:hint="eastAsia" w:ascii="仿宋" w:hAnsi="仿宋" w:eastAsia="仿宋"/>
          <w:color w:val="auto"/>
          <w:sz w:val="28"/>
          <w:szCs w:val="28"/>
        </w:rPr>
        <w:t>会议或</w:t>
      </w:r>
      <w:r>
        <w:rPr>
          <w:rFonts w:ascii="仿宋" w:hAnsi="仿宋" w:eastAsia="仿宋"/>
          <w:color w:val="auto"/>
          <w:sz w:val="28"/>
          <w:szCs w:val="28"/>
        </w:rPr>
        <w:t>学术报告，</w:t>
      </w:r>
      <w:r>
        <w:rPr>
          <w:rFonts w:hint="eastAsia" w:ascii="仿宋" w:hAnsi="仿宋" w:eastAsia="仿宋"/>
          <w:color w:val="auto"/>
          <w:sz w:val="28"/>
          <w:szCs w:val="28"/>
        </w:rPr>
        <w:t>可以申请加0.2分，但本项加分不得超过2</w:t>
      </w:r>
      <w:r>
        <w:rPr>
          <w:rFonts w:ascii="仿宋" w:hAnsi="仿宋" w:eastAsia="仿宋"/>
          <w:color w:val="auto"/>
          <w:sz w:val="28"/>
          <w:szCs w:val="28"/>
        </w:rPr>
        <w:t>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（二）</w:t>
      </w:r>
      <w:r>
        <w:rPr>
          <w:rFonts w:ascii="仿宋" w:hAnsi="仿宋" w:eastAsia="仿宋"/>
          <w:color w:val="auto"/>
          <w:sz w:val="28"/>
          <w:szCs w:val="28"/>
        </w:rPr>
        <w:t>参加</w:t>
      </w:r>
      <w:r>
        <w:rPr>
          <w:rFonts w:hint="eastAsia" w:ascii="仿宋" w:hAnsi="仿宋" w:eastAsia="仿宋"/>
          <w:color w:val="auto"/>
          <w:sz w:val="28"/>
          <w:szCs w:val="28"/>
        </w:rPr>
        <w:t>一次</w:t>
      </w:r>
      <w:r>
        <w:rPr>
          <w:rFonts w:ascii="仿宋" w:hAnsi="仿宋" w:eastAsia="仿宋"/>
          <w:color w:val="auto"/>
          <w:sz w:val="28"/>
          <w:szCs w:val="28"/>
        </w:rPr>
        <w:t>校外线下学术</w:t>
      </w:r>
      <w:r>
        <w:rPr>
          <w:rFonts w:hint="eastAsia" w:ascii="仿宋" w:hAnsi="仿宋" w:eastAsia="仿宋"/>
          <w:color w:val="auto"/>
          <w:sz w:val="28"/>
          <w:szCs w:val="28"/>
        </w:rPr>
        <w:t>讲座、</w:t>
      </w:r>
      <w:r>
        <w:rPr>
          <w:rFonts w:ascii="仿宋" w:hAnsi="仿宋" w:eastAsia="仿宋"/>
          <w:color w:val="auto"/>
          <w:sz w:val="28"/>
          <w:szCs w:val="28"/>
        </w:rPr>
        <w:t>学术</w:t>
      </w:r>
      <w:r>
        <w:rPr>
          <w:rFonts w:hint="eastAsia" w:ascii="仿宋" w:hAnsi="仿宋" w:eastAsia="仿宋"/>
          <w:color w:val="auto"/>
          <w:sz w:val="28"/>
          <w:szCs w:val="28"/>
        </w:rPr>
        <w:t>会议或</w:t>
      </w:r>
      <w:r>
        <w:rPr>
          <w:rFonts w:ascii="仿宋" w:hAnsi="仿宋" w:eastAsia="仿宋"/>
          <w:color w:val="auto"/>
          <w:sz w:val="28"/>
          <w:szCs w:val="28"/>
        </w:rPr>
        <w:t>学术报告，</w:t>
      </w:r>
      <w:r>
        <w:rPr>
          <w:rFonts w:hint="eastAsia" w:ascii="仿宋" w:hAnsi="仿宋" w:eastAsia="仿宋"/>
          <w:color w:val="auto"/>
          <w:sz w:val="28"/>
          <w:szCs w:val="28"/>
        </w:rPr>
        <w:t>可以申请加</w:t>
      </w:r>
      <w:r>
        <w:rPr>
          <w:rFonts w:ascii="仿宋" w:hAnsi="仿宋" w:eastAsia="仿宋"/>
          <w:color w:val="auto"/>
          <w:sz w:val="28"/>
          <w:szCs w:val="28"/>
        </w:rPr>
        <w:t>0.1分，</w:t>
      </w:r>
      <w:r>
        <w:rPr>
          <w:rFonts w:hint="eastAsia" w:ascii="仿宋" w:hAnsi="仿宋" w:eastAsia="仿宋"/>
          <w:color w:val="auto"/>
          <w:sz w:val="28"/>
          <w:szCs w:val="28"/>
        </w:rPr>
        <w:t>但本项加分不得超过</w:t>
      </w:r>
      <w:r>
        <w:rPr>
          <w:rFonts w:ascii="仿宋" w:hAnsi="仿宋" w:eastAsia="仿宋"/>
          <w:color w:val="auto"/>
          <w:sz w:val="28"/>
          <w:szCs w:val="28"/>
        </w:rPr>
        <w:t>1分</w:t>
      </w:r>
      <w:r>
        <w:rPr>
          <w:rFonts w:hint="eastAsia" w:ascii="仿宋" w:hAnsi="仿宋" w:eastAsia="仿宋"/>
          <w:color w:val="auto"/>
          <w:sz w:val="28"/>
          <w:szCs w:val="28"/>
        </w:rPr>
        <w:t>。</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（三）在学术会议上</w:t>
      </w:r>
      <w:r>
        <w:rPr>
          <w:rFonts w:ascii="仿宋" w:hAnsi="仿宋" w:eastAsia="仿宋"/>
          <w:color w:val="auto"/>
          <w:sz w:val="28"/>
          <w:szCs w:val="28"/>
        </w:rPr>
        <w:t>宣读论文</w:t>
      </w:r>
      <w:r>
        <w:rPr>
          <w:rFonts w:hint="eastAsia" w:ascii="仿宋" w:hAnsi="仿宋" w:eastAsia="仿宋"/>
          <w:color w:val="auto"/>
          <w:sz w:val="28"/>
          <w:szCs w:val="28"/>
        </w:rPr>
        <w:t>的，可以申请加</w:t>
      </w:r>
      <w:r>
        <w:rPr>
          <w:rFonts w:ascii="仿宋" w:hAnsi="仿宋" w:eastAsia="仿宋"/>
          <w:color w:val="auto"/>
          <w:sz w:val="28"/>
          <w:szCs w:val="28"/>
        </w:rPr>
        <w:t>5分</w:t>
      </w:r>
      <w:r>
        <w:rPr>
          <w:rFonts w:hint="eastAsia" w:ascii="仿宋" w:hAnsi="仿宋" w:eastAsia="仿宋"/>
          <w:color w:val="auto"/>
          <w:sz w:val="28"/>
          <w:szCs w:val="28"/>
        </w:rPr>
        <w:t>。申请本项加分的，须提交会议议程复印件。</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（四）</w:t>
      </w:r>
      <w:r>
        <w:rPr>
          <w:rFonts w:ascii="仿宋" w:hAnsi="仿宋" w:eastAsia="仿宋"/>
          <w:color w:val="auto"/>
          <w:sz w:val="28"/>
          <w:szCs w:val="28"/>
        </w:rPr>
        <w:t>论文全文被收入会议论文集</w:t>
      </w:r>
      <w:r>
        <w:rPr>
          <w:rFonts w:hint="eastAsia" w:ascii="仿宋" w:hAnsi="仿宋" w:eastAsia="仿宋"/>
          <w:color w:val="auto"/>
          <w:sz w:val="28"/>
          <w:szCs w:val="28"/>
        </w:rPr>
        <w:t>，该会议论文集</w:t>
      </w:r>
      <w:r>
        <w:rPr>
          <w:rFonts w:ascii="仿宋" w:hAnsi="仿宋" w:eastAsia="仿宋"/>
          <w:color w:val="auto"/>
          <w:sz w:val="28"/>
          <w:szCs w:val="28"/>
        </w:rPr>
        <w:t>有ISBN号</w:t>
      </w:r>
      <w:r>
        <w:rPr>
          <w:rFonts w:hint="eastAsia" w:ascii="仿宋" w:hAnsi="仿宋" w:eastAsia="仿宋"/>
          <w:color w:val="auto"/>
          <w:sz w:val="28"/>
          <w:szCs w:val="28"/>
        </w:rPr>
        <w:t>且出版时间在参评年度内</w:t>
      </w:r>
      <w:r>
        <w:rPr>
          <w:rFonts w:ascii="仿宋" w:hAnsi="仿宋" w:eastAsia="仿宋"/>
          <w:color w:val="auto"/>
          <w:sz w:val="28"/>
          <w:szCs w:val="28"/>
        </w:rPr>
        <w:t>的，</w:t>
      </w:r>
      <w:r>
        <w:rPr>
          <w:rFonts w:hint="eastAsia" w:ascii="仿宋" w:hAnsi="仿宋" w:eastAsia="仿宋"/>
          <w:color w:val="auto"/>
          <w:sz w:val="28"/>
          <w:szCs w:val="28"/>
        </w:rPr>
        <w:t>按照以下标准加分：</w:t>
      </w:r>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类别</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第一作者</w:t>
            </w:r>
          </w:p>
          <w:p>
            <w:pPr>
              <w:snapToGrid w:val="0"/>
              <w:jc w:val="center"/>
              <w:rPr>
                <w:rFonts w:ascii="仿宋" w:hAnsi="仿宋" w:eastAsia="仿宋"/>
                <w:color w:val="auto"/>
                <w:sz w:val="28"/>
                <w:szCs w:val="28"/>
              </w:rPr>
            </w:pPr>
            <w:r>
              <w:rPr>
                <w:rFonts w:hint="eastAsia" w:ascii="仿宋" w:hAnsi="仿宋" w:eastAsia="仿宋"/>
                <w:color w:val="auto"/>
                <w:sz w:val="28"/>
                <w:szCs w:val="28"/>
              </w:rPr>
              <w:t>或通讯作者</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第二作者</w:t>
            </w:r>
          </w:p>
        </w:tc>
        <w:tc>
          <w:tcPr>
            <w:tcW w:w="2073" w:type="dxa"/>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第三作者</w:t>
            </w:r>
          </w:p>
          <w:p>
            <w:pPr>
              <w:snapToGrid w:val="0"/>
              <w:jc w:val="center"/>
              <w:rPr>
                <w:rFonts w:ascii="宋体" w:hAnsi="宋体" w:eastAsia="宋体"/>
                <w:color w:val="auto"/>
                <w:sz w:val="28"/>
                <w:szCs w:val="28"/>
              </w:rPr>
            </w:pPr>
            <w:r>
              <w:rPr>
                <w:rFonts w:hint="eastAsia" w:ascii="仿宋" w:hAnsi="仿宋" w:eastAsia="仿宋" w:cs="仿宋"/>
                <w:color w:val="auto"/>
                <w:sz w:val="28"/>
                <w:szCs w:val="28"/>
              </w:rPr>
              <w:t>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分数</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10</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6</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1</w:t>
            </w:r>
          </w:p>
        </w:tc>
      </w:tr>
    </w:tbl>
    <w:p>
      <w:pPr>
        <w:snapToGrid w:val="0"/>
        <w:spacing w:line="500" w:lineRule="exact"/>
        <w:rPr>
          <w:rFonts w:ascii="仿宋" w:hAnsi="仿宋" w:eastAsia="仿宋"/>
          <w:color w:val="auto"/>
          <w:sz w:val="28"/>
          <w:szCs w:val="28"/>
        </w:rPr>
      </w:pPr>
      <w:r>
        <w:rPr>
          <w:rFonts w:hint="eastAsia" w:ascii="仿宋" w:hAnsi="仿宋" w:eastAsia="仿宋"/>
          <w:color w:val="auto"/>
          <w:sz w:val="28"/>
          <w:szCs w:val="28"/>
        </w:rPr>
        <w:t>申请本项加分的，须提交论文集封面、版权页及目录复印件。</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（五）</w:t>
      </w:r>
      <w:r>
        <w:rPr>
          <w:rFonts w:ascii="仿宋" w:hAnsi="仿宋" w:eastAsia="仿宋"/>
          <w:color w:val="auto"/>
          <w:sz w:val="28"/>
          <w:szCs w:val="28"/>
        </w:rPr>
        <w:t>在</w:t>
      </w:r>
      <w:r>
        <w:rPr>
          <w:rFonts w:hint="eastAsia" w:ascii="仿宋" w:hAnsi="仿宋" w:eastAsia="仿宋"/>
          <w:color w:val="auto"/>
          <w:sz w:val="28"/>
          <w:szCs w:val="28"/>
        </w:rPr>
        <w:t>学术会议</w:t>
      </w:r>
      <w:r>
        <w:rPr>
          <w:rFonts w:ascii="仿宋" w:hAnsi="仿宋" w:eastAsia="仿宋"/>
          <w:color w:val="auto"/>
          <w:sz w:val="28"/>
          <w:szCs w:val="28"/>
        </w:rPr>
        <w:t>评比中</w:t>
      </w:r>
      <w:r>
        <w:rPr>
          <w:rFonts w:hint="eastAsia" w:ascii="仿宋" w:hAnsi="仿宋" w:eastAsia="仿宋"/>
          <w:color w:val="auto"/>
          <w:sz w:val="28"/>
          <w:szCs w:val="28"/>
        </w:rPr>
        <w:t>，</w:t>
      </w:r>
      <w:r>
        <w:rPr>
          <w:rFonts w:ascii="仿宋" w:hAnsi="仿宋" w:eastAsia="仿宋"/>
          <w:color w:val="auto"/>
          <w:sz w:val="28"/>
          <w:szCs w:val="28"/>
        </w:rPr>
        <w:t>论文</w:t>
      </w:r>
      <w:r>
        <w:rPr>
          <w:rFonts w:hint="eastAsia" w:ascii="仿宋" w:hAnsi="仿宋" w:eastAsia="仿宋"/>
          <w:color w:val="auto"/>
          <w:sz w:val="28"/>
          <w:szCs w:val="28"/>
        </w:rPr>
        <w:t>获奖的，按照以下标准加分：</w:t>
      </w:r>
    </w:p>
    <w:tbl>
      <w:tblPr>
        <w:tblStyle w:val="8"/>
        <w:tblpPr w:leftFromText="180" w:rightFromText="180" w:vertAnchor="text" w:horzAnchor="page" w:tblpXSpec="center" w:tblpY="87"/>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120" w:type="dxa"/>
          <w:left w:w="60" w:type="dxa"/>
          <w:bottom w:w="120" w:type="dxa"/>
          <w:right w:w="60" w:type="dxa"/>
        </w:tblCellMar>
      </w:tblPr>
      <w:tblGrid>
        <w:gridCol w:w="2075"/>
        <w:gridCol w:w="2069"/>
        <w:gridCol w:w="2069"/>
        <w:gridCol w:w="2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b/>
                <w:bCs/>
                <w:color w:val="auto"/>
                <w:sz w:val="28"/>
                <w:szCs w:val="28"/>
              </w:rPr>
            </w:pPr>
            <w:r>
              <w:rPr>
                <w:rFonts w:hint="eastAsia" w:ascii="仿宋" w:hAnsi="仿宋" w:eastAsia="仿宋"/>
                <w:b/>
                <w:bCs/>
                <w:color w:val="auto"/>
                <w:sz w:val="28"/>
                <w:szCs w:val="28"/>
              </w:rPr>
              <w:t>类别</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第一作者</w:t>
            </w:r>
          </w:p>
          <w:p>
            <w:pPr>
              <w:snapToGrid w:val="0"/>
              <w:jc w:val="center"/>
              <w:rPr>
                <w:rFonts w:ascii="仿宋" w:hAnsi="仿宋" w:eastAsia="仿宋"/>
                <w:color w:val="auto"/>
                <w:sz w:val="28"/>
                <w:szCs w:val="28"/>
              </w:rPr>
            </w:pPr>
            <w:r>
              <w:rPr>
                <w:rFonts w:hint="eastAsia" w:ascii="仿宋" w:hAnsi="仿宋" w:eastAsia="仿宋"/>
                <w:color w:val="auto"/>
                <w:sz w:val="28"/>
                <w:szCs w:val="28"/>
              </w:rPr>
              <w:t>或通讯作者</w:t>
            </w:r>
          </w:p>
        </w:tc>
        <w:tc>
          <w:tcPr>
            <w:tcW w:w="2069"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第二作者</w:t>
            </w:r>
          </w:p>
        </w:tc>
        <w:tc>
          <w:tcPr>
            <w:tcW w:w="2073" w:type="dxa"/>
            <w:vAlign w:val="center"/>
          </w:tcPr>
          <w:p>
            <w:pPr>
              <w:snapToGrid w:val="0"/>
              <w:jc w:val="center"/>
              <w:rPr>
                <w:rFonts w:ascii="仿宋" w:hAnsi="仿宋" w:eastAsia="仿宋" w:cs="仿宋"/>
                <w:color w:val="auto"/>
                <w:sz w:val="28"/>
                <w:szCs w:val="28"/>
              </w:rPr>
            </w:pPr>
            <w:r>
              <w:rPr>
                <w:rFonts w:hint="eastAsia" w:ascii="仿宋" w:hAnsi="仿宋" w:eastAsia="仿宋" w:cs="仿宋"/>
                <w:color w:val="auto"/>
                <w:sz w:val="28"/>
                <w:szCs w:val="28"/>
              </w:rPr>
              <w:t>第三作者</w:t>
            </w:r>
          </w:p>
          <w:p>
            <w:pPr>
              <w:snapToGrid w:val="0"/>
              <w:jc w:val="center"/>
              <w:rPr>
                <w:rFonts w:ascii="宋体" w:hAnsi="宋体" w:eastAsia="宋体"/>
                <w:color w:val="auto"/>
                <w:sz w:val="28"/>
                <w:szCs w:val="28"/>
              </w:rPr>
            </w:pPr>
            <w:r>
              <w:rPr>
                <w:rFonts w:hint="eastAsia" w:ascii="仿宋" w:hAnsi="仿宋" w:eastAsia="仿宋" w:cs="仿宋"/>
                <w:color w:val="auto"/>
                <w:sz w:val="28"/>
                <w:szCs w:val="28"/>
              </w:rPr>
              <w:t>及排名在第三作者之后的其他作者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最高级别奖项</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7</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r>
              <w:rPr>
                <w:rFonts w:ascii="Times New Roman" w:hAnsi="Times New Roman" w:eastAsia="宋体"/>
                <w:color w:val="auto"/>
                <w:sz w:val="28"/>
                <w:szCs w:val="28"/>
              </w:rPr>
              <w:t>.2</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第二级别奖项</w:t>
            </w:r>
          </w:p>
        </w:tc>
        <w:tc>
          <w:tcPr>
            <w:tcW w:w="2069" w:type="dxa"/>
            <w:vAlign w:val="center"/>
          </w:tcPr>
          <w:p>
            <w:pPr>
              <w:snapToGrid w:val="0"/>
              <w:jc w:val="center"/>
              <w:rPr>
                <w:rFonts w:ascii="Times New Roman" w:hAnsi="Times New Roman" w:eastAsia="宋体"/>
                <w:color w:val="auto"/>
                <w:sz w:val="28"/>
                <w:szCs w:val="28"/>
              </w:rPr>
            </w:pPr>
            <w:r>
              <w:rPr>
                <w:rFonts w:ascii="Times New Roman" w:hAnsi="Times New Roman" w:eastAsia="宋体"/>
                <w:color w:val="auto"/>
                <w:sz w:val="28"/>
                <w:szCs w:val="28"/>
              </w:rPr>
              <w:t>6</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r>
              <w:rPr>
                <w:rFonts w:ascii="Times New Roman" w:hAnsi="Times New Roman" w:eastAsia="宋体"/>
                <w:color w:val="auto"/>
                <w:sz w:val="28"/>
                <w:szCs w:val="28"/>
              </w:rPr>
              <w:t>.6</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第三级别奖项</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5</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3</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20" w:type="dxa"/>
            <w:left w:w="60" w:type="dxa"/>
            <w:bottom w:w="120" w:type="dxa"/>
            <w:right w:w="60" w:type="dxa"/>
          </w:tblCellMar>
        </w:tblPrEx>
        <w:trPr>
          <w:trHeight w:val="992" w:hRule="atLeast"/>
          <w:jc w:val="center"/>
        </w:trPr>
        <w:tc>
          <w:tcPr>
            <w:tcW w:w="2075" w:type="dxa"/>
            <w:vAlign w:val="center"/>
          </w:tcPr>
          <w:p>
            <w:pPr>
              <w:snapToGrid w:val="0"/>
              <w:jc w:val="center"/>
              <w:rPr>
                <w:rFonts w:ascii="仿宋" w:hAnsi="仿宋" w:eastAsia="仿宋"/>
                <w:color w:val="auto"/>
                <w:sz w:val="28"/>
                <w:szCs w:val="28"/>
              </w:rPr>
            </w:pPr>
            <w:r>
              <w:rPr>
                <w:rFonts w:hint="eastAsia" w:ascii="仿宋" w:hAnsi="仿宋" w:eastAsia="仿宋"/>
                <w:color w:val="auto"/>
                <w:sz w:val="28"/>
                <w:szCs w:val="28"/>
              </w:rPr>
              <w:t>其他奖项或</w:t>
            </w:r>
          </w:p>
          <w:p>
            <w:pPr>
              <w:snapToGrid w:val="0"/>
              <w:jc w:val="center"/>
              <w:rPr>
                <w:rFonts w:ascii="仿宋" w:hAnsi="仿宋" w:eastAsia="仿宋"/>
                <w:color w:val="auto"/>
                <w:sz w:val="28"/>
                <w:szCs w:val="28"/>
              </w:rPr>
            </w:pPr>
            <w:r>
              <w:rPr>
                <w:rFonts w:hint="eastAsia" w:ascii="仿宋" w:hAnsi="仿宋" w:eastAsia="仿宋"/>
                <w:color w:val="auto"/>
                <w:sz w:val="28"/>
                <w:szCs w:val="28"/>
              </w:rPr>
              <w:t>不分等级奖项</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4</w:t>
            </w:r>
          </w:p>
        </w:tc>
        <w:tc>
          <w:tcPr>
            <w:tcW w:w="2069"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2</w:t>
            </w:r>
            <w:r>
              <w:rPr>
                <w:rFonts w:ascii="Times New Roman" w:hAnsi="Times New Roman" w:eastAsia="宋体"/>
                <w:color w:val="auto"/>
                <w:sz w:val="28"/>
                <w:szCs w:val="28"/>
              </w:rPr>
              <w:t>.4</w:t>
            </w:r>
          </w:p>
        </w:tc>
        <w:tc>
          <w:tcPr>
            <w:tcW w:w="2073" w:type="dxa"/>
            <w:vAlign w:val="center"/>
          </w:tcPr>
          <w:p>
            <w:pPr>
              <w:snapToGrid w:val="0"/>
              <w:jc w:val="center"/>
              <w:rPr>
                <w:rFonts w:ascii="Times New Roman" w:hAnsi="Times New Roman" w:eastAsia="宋体"/>
                <w:color w:val="auto"/>
                <w:sz w:val="28"/>
                <w:szCs w:val="28"/>
              </w:rPr>
            </w:pPr>
            <w:r>
              <w:rPr>
                <w:rFonts w:hint="eastAsia" w:ascii="Times New Roman" w:hAnsi="Times New Roman" w:eastAsia="宋体"/>
                <w:color w:val="auto"/>
                <w:sz w:val="28"/>
                <w:szCs w:val="28"/>
              </w:rPr>
              <w:t>0</w:t>
            </w:r>
            <w:r>
              <w:rPr>
                <w:rFonts w:ascii="Times New Roman" w:hAnsi="Times New Roman" w:eastAsia="宋体"/>
                <w:color w:val="auto"/>
                <w:sz w:val="28"/>
                <w:szCs w:val="28"/>
              </w:rPr>
              <w:t>.4</w:t>
            </w:r>
          </w:p>
        </w:tc>
      </w:tr>
    </w:tbl>
    <w:p>
      <w:pPr>
        <w:snapToGrid w:val="0"/>
        <w:spacing w:line="500" w:lineRule="exact"/>
        <w:rPr>
          <w:color w:val="auto"/>
        </w:rPr>
      </w:pPr>
      <w:r>
        <w:rPr>
          <w:rFonts w:hint="eastAsia" w:ascii="仿宋" w:hAnsi="仿宋" w:eastAsia="仿宋"/>
          <w:color w:val="auto"/>
          <w:sz w:val="28"/>
          <w:szCs w:val="28"/>
        </w:rPr>
        <w:t>申请本项加分的，</w:t>
      </w:r>
      <w:r>
        <w:rPr>
          <w:rFonts w:ascii="仿宋" w:hAnsi="仿宋" w:eastAsia="仿宋"/>
          <w:color w:val="auto"/>
          <w:sz w:val="28"/>
          <w:szCs w:val="28"/>
        </w:rPr>
        <w:t>须提交获奖证书复印件。</w:t>
      </w:r>
    </w:p>
    <w:p>
      <w:pPr>
        <w:snapToGrid w:val="0"/>
        <w:spacing w:line="500" w:lineRule="exact"/>
        <w:ind w:firstLine="560" w:firstLineChars="200"/>
        <w:rPr>
          <w:color w:val="auto"/>
        </w:rPr>
      </w:pPr>
      <w:bookmarkStart w:id="9" w:name="_Hlk132703842"/>
      <w:r>
        <w:rPr>
          <w:rFonts w:hint="eastAsia" w:ascii="仿宋" w:hAnsi="仿宋" w:eastAsia="仿宋"/>
          <w:color w:val="auto"/>
          <w:sz w:val="28"/>
          <w:szCs w:val="28"/>
        </w:rPr>
        <w:t>参加一次学术会议，满足前款第（一）至（五）项的两个或两个以上加分条件的，以满足分值较高的一个条件论。</w:t>
      </w:r>
      <w:bookmarkEnd w:id="9"/>
    </w:p>
    <w:p>
      <w:pPr>
        <w:snapToGrid w:val="0"/>
        <w:spacing w:line="500" w:lineRule="exact"/>
        <w:ind w:firstLine="560" w:firstLineChars="200"/>
        <w:rPr>
          <w:rFonts w:ascii="仿宋" w:hAnsi="仿宋" w:eastAsia="仿宋"/>
          <w:color w:val="auto"/>
          <w:sz w:val="28"/>
          <w:szCs w:val="28"/>
        </w:rPr>
      </w:pPr>
      <w:bookmarkStart w:id="10" w:name="_Hlk130376598"/>
      <w:r>
        <w:rPr>
          <w:rFonts w:hint="eastAsia" w:ascii="仿宋" w:hAnsi="仿宋" w:eastAsia="仿宋"/>
          <w:color w:val="auto"/>
          <w:sz w:val="28"/>
          <w:szCs w:val="28"/>
        </w:rPr>
        <w:t>申请依照第一款第（一）、（二）项规定加分的，</w:t>
      </w:r>
      <w:r>
        <w:rPr>
          <w:rFonts w:ascii="仿宋" w:hAnsi="仿宋" w:eastAsia="仿宋"/>
          <w:color w:val="auto"/>
          <w:sz w:val="28"/>
          <w:szCs w:val="28"/>
        </w:rPr>
        <w:t>须提交加盖相关单位公章</w:t>
      </w:r>
      <w:r>
        <w:rPr>
          <w:rFonts w:hint="eastAsia" w:ascii="仿宋" w:hAnsi="仿宋" w:eastAsia="仿宋"/>
          <w:color w:val="auto"/>
          <w:sz w:val="28"/>
          <w:szCs w:val="28"/>
        </w:rPr>
        <w:t>的讲座参与</w:t>
      </w:r>
      <w:r>
        <w:rPr>
          <w:rFonts w:ascii="仿宋" w:hAnsi="仿宋" w:eastAsia="仿宋"/>
          <w:color w:val="auto"/>
          <w:sz w:val="28"/>
          <w:szCs w:val="28"/>
        </w:rPr>
        <w:t>证明</w:t>
      </w:r>
      <w:r>
        <w:rPr>
          <w:rFonts w:hint="eastAsia" w:ascii="仿宋" w:hAnsi="仿宋" w:eastAsia="仿宋"/>
          <w:color w:val="auto"/>
          <w:sz w:val="28"/>
          <w:szCs w:val="28"/>
        </w:rPr>
        <w:t>，或官网（官微）的通知公告、报道里的参与人员名单复印件。</w:t>
      </w:r>
      <w:bookmarkEnd w:id="10"/>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第四十八条  【</w:t>
      </w:r>
      <w:r>
        <w:rPr>
          <w:rFonts w:ascii="仿宋" w:hAnsi="仿宋" w:eastAsia="仿宋"/>
          <w:b/>
          <w:bCs/>
          <w:color w:val="auto"/>
          <w:sz w:val="28"/>
          <w:szCs w:val="28"/>
        </w:rPr>
        <w:t>科研和学术分</w:t>
      </w:r>
      <w:r>
        <w:rPr>
          <w:rFonts w:hint="eastAsia" w:ascii="仿宋" w:hAnsi="仿宋" w:eastAsia="仿宋"/>
          <w:b/>
          <w:bCs/>
          <w:color w:val="auto"/>
          <w:sz w:val="28"/>
          <w:szCs w:val="28"/>
        </w:rPr>
        <w:t>】</w:t>
      </w:r>
      <w:r>
        <w:rPr>
          <w:rFonts w:hint="eastAsia" w:ascii="仿宋" w:hAnsi="仿宋" w:eastAsia="仿宋"/>
          <w:color w:val="auto"/>
          <w:sz w:val="28"/>
          <w:szCs w:val="28"/>
        </w:rPr>
        <w:t>依据本实施细则第四十五条至第四十八条之规定申请所加分数之和，为科研和学术分。</w:t>
      </w:r>
    </w:p>
    <w:p>
      <w:pPr>
        <w:snapToGrid w:val="0"/>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科研和学术分上限为1</w:t>
      </w:r>
      <w:r>
        <w:rPr>
          <w:rFonts w:ascii="仿宋" w:hAnsi="仿宋" w:eastAsia="仿宋"/>
          <w:color w:val="auto"/>
          <w:sz w:val="28"/>
          <w:szCs w:val="28"/>
        </w:rPr>
        <w:t>00</w:t>
      </w:r>
      <w:r>
        <w:rPr>
          <w:rFonts w:hint="eastAsia" w:ascii="仿宋" w:hAnsi="仿宋" w:eastAsia="仿宋"/>
          <w:color w:val="auto"/>
          <w:sz w:val="28"/>
          <w:szCs w:val="28"/>
        </w:rPr>
        <w:t>分。</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第四十九条</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b/>
          <w:bCs/>
          <w:color w:val="auto"/>
          <w:sz w:val="28"/>
          <w:szCs w:val="28"/>
        </w:rPr>
        <w:t>【综合表现分】</w:t>
      </w:r>
      <w:r>
        <w:rPr>
          <w:rFonts w:hint="eastAsia" w:ascii="仿宋" w:hAnsi="仿宋" w:eastAsia="仿宋"/>
          <w:color w:val="auto"/>
          <w:sz w:val="28"/>
          <w:szCs w:val="28"/>
        </w:rPr>
        <w:t>综合表现分=思想道德品质和社会实践分×2</w:t>
      </w:r>
      <w:r>
        <w:rPr>
          <w:rFonts w:ascii="仿宋" w:hAnsi="仿宋" w:eastAsia="仿宋"/>
          <w:color w:val="auto"/>
          <w:sz w:val="28"/>
          <w:szCs w:val="28"/>
        </w:rPr>
        <w:t>0%</w:t>
      </w:r>
      <w:r>
        <w:rPr>
          <w:rFonts w:hint="eastAsia" w:ascii="仿宋" w:hAnsi="仿宋" w:eastAsia="仿宋"/>
          <w:color w:val="auto"/>
          <w:sz w:val="28"/>
          <w:szCs w:val="28"/>
        </w:rPr>
        <w:t>+学习成绩分×3</w:t>
      </w:r>
      <w:r>
        <w:rPr>
          <w:rFonts w:ascii="仿宋" w:hAnsi="仿宋" w:eastAsia="仿宋"/>
          <w:color w:val="auto"/>
          <w:sz w:val="28"/>
          <w:szCs w:val="28"/>
        </w:rPr>
        <w:t>0%</w:t>
      </w:r>
      <w:r>
        <w:rPr>
          <w:rFonts w:hint="eastAsia" w:ascii="仿宋" w:hAnsi="仿宋" w:eastAsia="仿宋"/>
          <w:color w:val="auto"/>
          <w:sz w:val="28"/>
          <w:szCs w:val="28"/>
        </w:rPr>
        <w:t>+科研和学术分×5</w:t>
      </w:r>
      <w:r>
        <w:rPr>
          <w:rFonts w:ascii="仿宋" w:hAnsi="仿宋" w:eastAsia="仿宋"/>
          <w:color w:val="auto"/>
          <w:sz w:val="28"/>
          <w:szCs w:val="28"/>
        </w:rPr>
        <w:t>0%</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【二年级及二年级以上硕士研究生的排名规则】</w:t>
      </w:r>
      <w:r>
        <w:rPr>
          <w:rFonts w:hint="eastAsia" w:ascii="仿宋" w:hAnsi="仿宋" w:eastAsia="仿宋"/>
          <w:color w:val="auto"/>
          <w:sz w:val="28"/>
          <w:szCs w:val="28"/>
        </w:rPr>
        <w:t>按照综合表现分从高到低对本年级本专业二年级以上（含二年级）硕士研究生进行排序，综合表现分相同的，由学院奖学金评审委员会确定排序。</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 xml:space="preserve">第五十条 </w:t>
      </w:r>
      <w:r>
        <w:rPr>
          <w:rFonts w:ascii="仿宋" w:hAnsi="仿宋" w:eastAsia="仿宋"/>
          <w:b/>
          <w:bCs/>
          <w:color w:val="auto"/>
          <w:sz w:val="28"/>
          <w:szCs w:val="28"/>
        </w:rPr>
        <w:t xml:space="preserve"> </w:t>
      </w:r>
      <w:r>
        <w:rPr>
          <w:rFonts w:hint="eastAsia" w:ascii="仿宋" w:hAnsi="仿宋" w:eastAsia="仿宋"/>
          <w:b/>
          <w:bCs/>
          <w:color w:val="auto"/>
          <w:sz w:val="28"/>
          <w:szCs w:val="28"/>
        </w:rPr>
        <w:t>【二年级及二年级以上硕士研究生获奖等级的评选规则】</w:t>
      </w:r>
      <w:r>
        <w:rPr>
          <w:rFonts w:hint="eastAsia" w:ascii="仿宋" w:hAnsi="仿宋" w:eastAsia="仿宋"/>
          <w:color w:val="auto"/>
          <w:sz w:val="28"/>
          <w:szCs w:val="28"/>
        </w:rPr>
        <w:t>综合考虑综合表现分排序结果、各等级奖项指标，评选二年级及二年级以上硕士研究生学业奖学金。</w:t>
      </w:r>
    </w:p>
    <w:p>
      <w:pPr>
        <w:snapToGrid w:val="0"/>
        <w:spacing w:before="187" w:after="187" w:line="520" w:lineRule="exact"/>
        <w:jc w:val="center"/>
        <w:rPr>
          <w:rFonts w:ascii="黑体" w:hAnsi="黑体" w:eastAsia="黑体"/>
          <w:b/>
          <w:bCs/>
          <w:color w:val="auto"/>
          <w:kern w:val="0"/>
          <w:sz w:val="30"/>
          <w:szCs w:val="30"/>
        </w:rPr>
      </w:pPr>
      <w:r>
        <w:rPr>
          <w:rFonts w:ascii="黑体" w:hAnsi="黑体" w:eastAsia="黑体"/>
          <w:b/>
          <w:bCs/>
          <w:color w:val="auto"/>
          <w:kern w:val="0"/>
          <w:sz w:val="30"/>
          <w:szCs w:val="30"/>
        </w:rPr>
        <w:t>附</w:t>
      </w:r>
      <w:r>
        <w:rPr>
          <w:rFonts w:hint="eastAsia" w:ascii="黑体" w:hAnsi="黑体" w:eastAsia="黑体"/>
          <w:b/>
          <w:bCs/>
          <w:color w:val="auto"/>
          <w:kern w:val="0"/>
          <w:sz w:val="30"/>
          <w:szCs w:val="30"/>
        </w:rPr>
        <w:t xml:space="preserve">  </w:t>
      </w:r>
      <w:r>
        <w:rPr>
          <w:rFonts w:ascii="黑体" w:hAnsi="黑体" w:eastAsia="黑体"/>
          <w:b/>
          <w:bCs/>
          <w:color w:val="auto"/>
          <w:kern w:val="0"/>
          <w:sz w:val="30"/>
          <w:szCs w:val="30"/>
        </w:rPr>
        <w:t>则</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第四十九条</w:t>
      </w:r>
      <w:r>
        <w:rPr>
          <w:rFonts w:hint="eastAsia" w:ascii="仿宋" w:hAnsi="仿宋" w:eastAsia="仿宋"/>
          <w:color w:val="auto"/>
          <w:sz w:val="28"/>
          <w:szCs w:val="28"/>
        </w:rPr>
        <w:t xml:space="preserve">  </w:t>
      </w:r>
      <w:r>
        <w:rPr>
          <w:rFonts w:ascii="仿宋" w:hAnsi="仿宋" w:eastAsia="仿宋"/>
          <w:color w:val="auto"/>
          <w:sz w:val="28"/>
          <w:szCs w:val="28"/>
        </w:rPr>
        <w:t>获得其他研究生奖助政策资助研究生，可</w:t>
      </w:r>
      <w:r>
        <w:rPr>
          <w:rFonts w:hint="eastAsia" w:ascii="仿宋" w:hAnsi="仿宋" w:eastAsia="仿宋"/>
          <w:color w:val="auto"/>
          <w:sz w:val="28"/>
          <w:szCs w:val="28"/>
        </w:rPr>
        <w:t>以</w:t>
      </w:r>
      <w:r>
        <w:rPr>
          <w:rFonts w:ascii="仿宋" w:hAnsi="仿宋" w:eastAsia="仿宋"/>
          <w:color w:val="auto"/>
          <w:sz w:val="28"/>
          <w:szCs w:val="28"/>
        </w:rPr>
        <w:t>同时获得学业奖学金。</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第五十条</w:t>
      </w:r>
      <w:r>
        <w:rPr>
          <w:rFonts w:hint="eastAsia" w:ascii="宋体" w:hAnsi="宋体" w:eastAsia="宋体"/>
          <w:bCs/>
          <w:color w:val="auto"/>
          <w:sz w:val="28"/>
          <w:szCs w:val="28"/>
        </w:rPr>
        <w:t xml:space="preserve">  </w:t>
      </w:r>
      <w:r>
        <w:rPr>
          <w:rFonts w:ascii="仿宋" w:hAnsi="仿宋" w:eastAsia="仿宋"/>
          <w:color w:val="auto"/>
          <w:sz w:val="28"/>
          <w:szCs w:val="28"/>
        </w:rPr>
        <w:t>本</w:t>
      </w:r>
      <w:r>
        <w:rPr>
          <w:rFonts w:hint="eastAsia" w:ascii="仿宋" w:hAnsi="仿宋" w:eastAsia="仿宋"/>
          <w:color w:val="auto"/>
          <w:sz w:val="28"/>
          <w:szCs w:val="28"/>
        </w:rPr>
        <w:t>实施细则的最终解释权归人文与法学</w:t>
      </w:r>
      <w:r>
        <w:rPr>
          <w:rFonts w:ascii="仿宋" w:hAnsi="仿宋" w:eastAsia="仿宋"/>
          <w:color w:val="auto"/>
          <w:sz w:val="28"/>
          <w:szCs w:val="28"/>
        </w:rPr>
        <w:t>学院学业奖学金评审委员会。</w:t>
      </w:r>
    </w:p>
    <w:p>
      <w:pPr>
        <w:snapToGrid w:val="0"/>
        <w:spacing w:line="500" w:lineRule="exact"/>
        <w:ind w:firstLine="562" w:firstLineChars="200"/>
        <w:rPr>
          <w:rFonts w:ascii="仿宋" w:hAnsi="仿宋" w:eastAsia="仿宋"/>
          <w:color w:val="auto"/>
          <w:sz w:val="28"/>
          <w:szCs w:val="28"/>
        </w:rPr>
      </w:pPr>
      <w:r>
        <w:rPr>
          <w:rFonts w:hint="eastAsia" w:ascii="仿宋" w:hAnsi="仿宋" w:eastAsia="仿宋"/>
          <w:b/>
          <w:bCs/>
          <w:color w:val="auto"/>
          <w:sz w:val="28"/>
          <w:szCs w:val="28"/>
        </w:rPr>
        <w:t>第五十一条</w:t>
      </w:r>
      <w:r>
        <w:rPr>
          <w:rFonts w:hint="eastAsia" w:ascii="仿宋" w:hAnsi="仿宋" w:eastAsia="仿宋"/>
          <w:color w:val="auto"/>
          <w:sz w:val="28"/>
          <w:szCs w:val="28"/>
        </w:rPr>
        <w:t xml:space="preserve">  </w:t>
      </w:r>
      <w:r>
        <w:rPr>
          <w:rFonts w:ascii="仿宋" w:hAnsi="仿宋" w:eastAsia="仿宋"/>
          <w:color w:val="auto"/>
          <w:sz w:val="28"/>
          <w:szCs w:val="28"/>
        </w:rPr>
        <w:t>本</w:t>
      </w:r>
      <w:r>
        <w:rPr>
          <w:rFonts w:hint="eastAsia" w:ascii="仿宋" w:hAnsi="仿宋" w:eastAsia="仿宋"/>
          <w:color w:val="auto"/>
          <w:sz w:val="28"/>
          <w:szCs w:val="28"/>
        </w:rPr>
        <w:t>实施细则</w:t>
      </w:r>
      <w:r>
        <w:rPr>
          <w:rFonts w:ascii="仿宋" w:hAnsi="仿宋" w:eastAsia="仿宋"/>
          <w:color w:val="auto"/>
          <w:sz w:val="28"/>
          <w:szCs w:val="28"/>
        </w:rPr>
        <w:t>自颁布之日起施行。</w:t>
      </w:r>
      <w:r>
        <w:rPr>
          <w:rFonts w:hint="eastAsia" w:ascii="仿宋" w:hAnsi="仿宋" w:eastAsia="仿宋"/>
          <w:color w:val="auto"/>
          <w:sz w:val="28"/>
          <w:szCs w:val="28"/>
        </w:rPr>
        <w:t>人文与法学</w:t>
      </w:r>
      <w:r>
        <w:rPr>
          <w:rFonts w:ascii="仿宋" w:hAnsi="仿宋" w:eastAsia="仿宋"/>
          <w:color w:val="auto"/>
          <w:sz w:val="28"/>
          <w:szCs w:val="28"/>
        </w:rPr>
        <w:t>学院原相关规定与本</w:t>
      </w:r>
      <w:r>
        <w:rPr>
          <w:rFonts w:hint="eastAsia" w:ascii="仿宋" w:hAnsi="仿宋" w:eastAsia="仿宋"/>
          <w:color w:val="auto"/>
          <w:sz w:val="28"/>
          <w:szCs w:val="28"/>
        </w:rPr>
        <w:t>实施细则</w:t>
      </w:r>
      <w:r>
        <w:rPr>
          <w:rFonts w:ascii="仿宋" w:hAnsi="仿宋" w:eastAsia="仿宋"/>
          <w:color w:val="auto"/>
          <w:sz w:val="28"/>
          <w:szCs w:val="28"/>
        </w:rPr>
        <w:t>不一致的，按本</w:t>
      </w:r>
      <w:r>
        <w:rPr>
          <w:rFonts w:hint="eastAsia" w:ascii="仿宋" w:hAnsi="仿宋" w:eastAsia="仿宋"/>
          <w:color w:val="auto"/>
          <w:sz w:val="28"/>
          <w:szCs w:val="28"/>
        </w:rPr>
        <w:t>实施细则</w:t>
      </w:r>
      <w:r>
        <w:rPr>
          <w:rFonts w:ascii="仿宋" w:hAnsi="仿宋" w:eastAsia="仿宋"/>
          <w:color w:val="auto"/>
          <w:sz w:val="28"/>
          <w:szCs w:val="28"/>
        </w:rPr>
        <w:t>执行。</w:t>
      </w:r>
    </w:p>
    <w:p>
      <w:pPr>
        <w:snapToGrid w:val="0"/>
        <w:spacing w:line="500" w:lineRule="exact"/>
        <w:rPr>
          <w:rFonts w:ascii="仿宋" w:hAnsi="仿宋" w:eastAsia="仿宋"/>
          <w:color w:val="auto"/>
          <w:sz w:val="28"/>
          <w:szCs w:val="28"/>
        </w:rPr>
      </w:pPr>
    </w:p>
    <w:p>
      <w:pPr>
        <w:snapToGrid w:val="0"/>
        <w:spacing w:line="500" w:lineRule="exact"/>
        <w:rPr>
          <w:rFonts w:ascii="Times New Roman" w:hAnsi="Times New Roman" w:eastAsia="宋体"/>
          <w:color w:val="auto"/>
          <w:kern w:val="0"/>
          <w:sz w:val="28"/>
          <w:szCs w:val="28"/>
        </w:rPr>
      </w:pPr>
    </w:p>
    <w:p>
      <w:pPr>
        <w:snapToGrid w:val="0"/>
        <w:spacing w:line="500" w:lineRule="exact"/>
        <w:ind w:firstLine="560" w:firstLineChars="200"/>
        <w:jc w:val="right"/>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人文与法学学院</w:t>
      </w:r>
    </w:p>
    <w:p>
      <w:pPr>
        <w:snapToGrid w:val="0"/>
        <w:spacing w:line="500" w:lineRule="exact"/>
        <w:ind w:firstLine="560" w:firstLineChars="200"/>
        <w:jc w:val="right"/>
        <w:rPr>
          <w:rFonts w:ascii="仿宋" w:hAnsi="仿宋" w:eastAsia="仿宋"/>
          <w:color w:val="auto"/>
          <w:sz w:val="24"/>
          <w:szCs w:val="24"/>
        </w:rPr>
      </w:pPr>
      <w:r>
        <w:rPr>
          <w:rFonts w:hint="eastAsia" w:ascii="仿宋" w:hAnsi="仿宋" w:eastAsia="仿宋"/>
          <w:color w:val="auto"/>
          <w:sz w:val="28"/>
          <w:szCs w:val="28"/>
        </w:rPr>
        <w:t xml:space="preserve">                                  2023</w:t>
      </w:r>
      <w:r>
        <w:rPr>
          <w:rFonts w:ascii="仿宋" w:hAnsi="仿宋" w:eastAsia="仿宋"/>
          <w:color w:val="auto"/>
          <w:sz w:val="28"/>
          <w:szCs w:val="28"/>
        </w:rPr>
        <w:t>年</w:t>
      </w:r>
      <w:r>
        <w:rPr>
          <w:rFonts w:hint="eastAsia" w:ascii="仿宋" w:hAnsi="仿宋" w:eastAsia="仿宋"/>
          <w:color w:val="auto"/>
          <w:sz w:val="28"/>
          <w:szCs w:val="28"/>
        </w:rPr>
        <w:t>11</w:t>
      </w:r>
      <w:r>
        <w:rPr>
          <w:rFonts w:ascii="仿宋" w:hAnsi="仿宋" w:eastAsia="仿宋"/>
          <w:color w:val="auto"/>
          <w:sz w:val="28"/>
          <w:szCs w:val="28"/>
        </w:rPr>
        <w:t>月6</w:t>
      </w:r>
      <w:r>
        <w:rPr>
          <w:rFonts w:hint="eastAsia" w:ascii="仿宋" w:hAnsi="仿宋" w:eastAsia="仿宋"/>
          <w:color w:val="auto"/>
          <w:sz w:val="28"/>
          <w:szCs w:val="28"/>
        </w:rPr>
        <w:t>日</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Times New Roman"/>
        <w:color w:val="000000"/>
        <w:sz w:val="18"/>
        <w:szCs w:val="18"/>
      </w:rPr>
    </w:pPr>
    <w:r>
      <w:fldChar w:fldCharType="begin"/>
    </w:r>
    <w:r>
      <w:rPr>
        <w:rFonts w:ascii="Times New Roman" w:hAnsi="Times New Roman" w:eastAsia="Times New Roman"/>
        <w:sz w:val="18"/>
        <w:szCs w:val="18"/>
      </w:rPr>
      <w:instrText xml:space="preserve">PAGE</w:instrText>
    </w:r>
    <w:r>
      <w:fldChar w:fldCharType="separate"/>
    </w:r>
    <w:r>
      <w:rPr>
        <w:rFonts w:ascii="Times New Roman" w:hAnsi="Times New Roman" w:eastAsia="Times New Roman"/>
        <w:sz w:val="18"/>
        <w:szCs w:val="18"/>
      </w:rPr>
      <w:t>1</w:t>
    </w:r>
    <w:r>
      <w:fldChar w:fldCharType="end"/>
    </w:r>
  </w:p>
  <w:p>
    <w:pPr>
      <w:snapToGrid w:val="0"/>
      <w:jc w:val="left"/>
      <w:rPr>
        <w:rFonts w:ascii="宋体" w:hAnsi="宋体" w:eastAsia="宋体"/>
        <w:color w:val="00000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xNWNhZmVhZjU0N2ZlOWY1NWE2NGFmN2M0ZGU0YTkifQ=="/>
  </w:docVars>
  <w:rsids>
    <w:rsidRoot w:val="00BA0C1A"/>
    <w:rsid w:val="0000285D"/>
    <w:rsid w:val="000059ED"/>
    <w:rsid w:val="00007F29"/>
    <w:rsid w:val="000367FD"/>
    <w:rsid w:val="00075A46"/>
    <w:rsid w:val="0008006C"/>
    <w:rsid w:val="00094A8D"/>
    <w:rsid w:val="000A27B8"/>
    <w:rsid w:val="000A3151"/>
    <w:rsid w:val="000A6BC5"/>
    <w:rsid w:val="000B3214"/>
    <w:rsid w:val="000C51B7"/>
    <w:rsid w:val="000C7B9B"/>
    <w:rsid w:val="000F5542"/>
    <w:rsid w:val="00104704"/>
    <w:rsid w:val="001206B1"/>
    <w:rsid w:val="001274F3"/>
    <w:rsid w:val="00130404"/>
    <w:rsid w:val="00134814"/>
    <w:rsid w:val="001504F2"/>
    <w:rsid w:val="00160282"/>
    <w:rsid w:val="00162C61"/>
    <w:rsid w:val="00165FB0"/>
    <w:rsid w:val="00183F22"/>
    <w:rsid w:val="00187EAA"/>
    <w:rsid w:val="001A5EC8"/>
    <w:rsid w:val="001A647E"/>
    <w:rsid w:val="001A7C93"/>
    <w:rsid w:val="001B0E14"/>
    <w:rsid w:val="001B23D6"/>
    <w:rsid w:val="001C2489"/>
    <w:rsid w:val="001C478A"/>
    <w:rsid w:val="001D7524"/>
    <w:rsid w:val="00200767"/>
    <w:rsid w:val="002049AE"/>
    <w:rsid w:val="00216AC5"/>
    <w:rsid w:val="00216EB9"/>
    <w:rsid w:val="00225167"/>
    <w:rsid w:val="00233EBE"/>
    <w:rsid w:val="0024472B"/>
    <w:rsid w:val="00250673"/>
    <w:rsid w:val="002512A2"/>
    <w:rsid w:val="002672F2"/>
    <w:rsid w:val="00267B73"/>
    <w:rsid w:val="0027170E"/>
    <w:rsid w:val="002760F2"/>
    <w:rsid w:val="0027728B"/>
    <w:rsid w:val="002B535D"/>
    <w:rsid w:val="002B653F"/>
    <w:rsid w:val="002C12C5"/>
    <w:rsid w:val="002D3FD8"/>
    <w:rsid w:val="002E09BB"/>
    <w:rsid w:val="003051FB"/>
    <w:rsid w:val="00306FBD"/>
    <w:rsid w:val="00312AD1"/>
    <w:rsid w:val="003337CB"/>
    <w:rsid w:val="00334D19"/>
    <w:rsid w:val="00342363"/>
    <w:rsid w:val="00346940"/>
    <w:rsid w:val="00371FC7"/>
    <w:rsid w:val="00375239"/>
    <w:rsid w:val="00377658"/>
    <w:rsid w:val="003873E5"/>
    <w:rsid w:val="003D7321"/>
    <w:rsid w:val="003E156A"/>
    <w:rsid w:val="003F0AAD"/>
    <w:rsid w:val="003F158A"/>
    <w:rsid w:val="003F4C80"/>
    <w:rsid w:val="003F663C"/>
    <w:rsid w:val="00404E58"/>
    <w:rsid w:val="00407B5B"/>
    <w:rsid w:val="00426F4D"/>
    <w:rsid w:val="00441B63"/>
    <w:rsid w:val="00447728"/>
    <w:rsid w:val="00447C52"/>
    <w:rsid w:val="00460B63"/>
    <w:rsid w:val="004A106F"/>
    <w:rsid w:val="004D569D"/>
    <w:rsid w:val="004E4ACC"/>
    <w:rsid w:val="004F055B"/>
    <w:rsid w:val="004F5833"/>
    <w:rsid w:val="00503425"/>
    <w:rsid w:val="00511246"/>
    <w:rsid w:val="005146D6"/>
    <w:rsid w:val="00515B73"/>
    <w:rsid w:val="005225F6"/>
    <w:rsid w:val="0054043C"/>
    <w:rsid w:val="005449BD"/>
    <w:rsid w:val="00552128"/>
    <w:rsid w:val="00585877"/>
    <w:rsid w:val="005901A8"/>
    <w:rsid w:val="0059531B"/>
    <w:rsid w:val="005A7D74"/>
    <w:rsid w:val="005C6950"/>
    <w:rsid w:val="005D179C"/>
    <w:rsid w:val="005D18E4"/>
    <w:rsid w:val="005F7E1B"/>
    <w:rsid w:val="00601F2A"/>
    <w:rsid w:val="006035FE"/>
    <w:rsid w:val="00611F14"/>
    <w:rsid w:val="00616505"/>
    <w:rsid w:val="00617B8B"/>
    <w:rsid w:val="00617EF9"/>
    <w:rsid w:val="0062213C"/>
    <w:rsid w:val="006269B9"/>
    <w:rsid w:val="00633F40"/>
    <w:rsid w:val="00644EE3"/>
    <w:rsid w:val="006549AD"/>
    <w:rsid w:val="00670F33"/>
    <w:rsid w:val="00684D9C"/>
    <w:rsid w:val="006A5647"/>
    <w:rsid w:val="006A6262"/>
    <w:rsid w:val="006B48AD"/>
    <w:rsid w:val="006D6ABE"/>
    <w:rsid w:val="00711B9E"/>
    <w:rsid w:val="00713140"/>
    <w:rsid w:val="00715001"/>
    <w:rsid w:val="00717F38"/>
    <w:rsid w:val="00731ED1"/>
    <w:rsid w:val="00740157"/>
    <w:rsid w:val="0074492D"/>
    <w:rsid w:val="00762B98"/>
    <w:rsid w:val="00763110"/>
    <w:rsid w:val="007852C5"/>
    <w:rsid w:val="007908AA"/>
    <w:rsid w:val="00796F70"/>
    <w:rsid w:val="007B77A9"/>
    <w:rsid w:val="007C7D89"/>
    <w:rsid w:val="007D0642"/>
    <w:rsid w:val="007D574A"/>
    <w:rsid w:val="007F1A1F"/>
    <w:rsid w:val="008214D9"/>
    <w:rsid w:val="008221B8"/>
    <w:rsid w:val="008232D8"/>
    <w:rsid w:val="00856014"/>
    <w:rsid w:val="0086121F"/>
    <w:rsid w:val="00863012"/>
    <w:rsid w:val="0086344A"/>
    <w:rsid w:val="008656CE"/>
    <w:rsid w:val="00867ECB"/>
    <w:rsid w:val="008769A2"/>
    <w:rsid w:val="008B77B7"/>
    <w:rsid w:val="008C31FA"/>
    <w:rsid w:val="008D1E47"/>
    <w:rsid w:val="008D6FC5"/>
    <w:rsid w:val="00902C60"/>
    <w:rsid w:val="00910DA8"/>
    <w:rsid w:val="00933A40"/>
    <w:rsid w:val="00934DA2"/>
    <w:rsid w:val="0095010F"/>
    <w:rsid w:val="00963B6A"/>
    <w:rsid w:val="00970C74"/>
    <w:rsid w:val="00972787"/>
    <w:rsid w:val="0098165D"/>
    <w:rsid w:val="00995CB4"/>
    <w:rsid w:val="009B058E"/>
    <w:rsid w:val="009C70AE"/>
    <w:rsid w:val="009D5FBC"/>
    <w:rsid w:val="009D7E99"/>
    <w:rsid w:val="009E47DE"/>
    <w:rsid w:val="009F2C2F"/>
    <w:rsid w:val="00A0053D"/>
    <w:rsid w:val="00A044ED"/>
    <w:rsid w:val="00A20DBF"/>
    <w:rsid w:val="00A2127B"/>
    <w:rsid w:val="00A42B20"/>
    <w:rsid w:val="00A534F1"/>
    <w:rsid w:val="00A60633"/>
    <w:rsid w:val="00A67758"/>
    <w:rsid w:val="00A721ED"/>
    <w:rsid w:val="00A7365F"/>
    <w:rsid w:val="00AB63DD"/>
    <w:rsid w:val="00AD07B9"/>
    <w:rsid w:val="00AD6137"/>
    <w:rsid w:val="00AF3524"/>
    <w:rsid w:val="00B1538A"/>
    <w:rsid w:val="00B15DFD"/>
    <w:rsid w:val="00B221CD"/>
    <w:rsid w:val="00B4291D"/>
    <w:rsid w:val="00B53345"/>
    <w:rsid w:val="00B56A6E"/>
    <w:rsid w:val="00B741DD"/>
    <w:rsid w:val="00B75386"/>
    <w:rsid w:val="00BA0C1A"/>
    <w:rsid w:val="00BA2EA2"/>
    <w:rsid w:val="00BD03BF"/>
    <w:rsid w:val="00BD17C1"/>
    <w:rsid w:val="00BD5E8B"/>
    <w:rsid w:val="00C061CB"/>
    <w:rsid w:val="00C06C23"/>
    <w:rsid w:val="00C370BC"/>
    <w:rsid w:val="00C448C4"/>
    <w:rsid w:val="00C514E1"/>
    <w:rsid w:val="00C604EC"/>
    <w:rsid w:val="00C66920"/>
    <w:rsid w:val="00C67470"/>
    <w:rsid w:val="00C71B20"/>
    <w:rsid w:val="00C76C9A"/>
    <w:rsid w:val="00C83145"/>
    <w:rsid w:val="00C8645A"/>
    <w:rsid w:val="00CA18DE"/>
    <w:rsid w:val="00CA5464"/>
    <w:rsid w:val="00CA6FAB"/>
    <w:rsid w:val="00CB59F1"/>
    <w:rsid w:val="00CC2191"/>
    <w:rsid w:val="00CC2EB1"/>
    <w:rsid w:val="00CE2E71"/>
    <w:rsid w:val="00CF16DF"/>
    <w:rsid w:val="00CF6B91"/>
    <w:rsid w:val="00D01019"/>
    <w:rsid w:val="00D017CA"/>
    <w:rsid w:val="00D03263"/>
    <w:rsid w:val="00D15556"/>
    <w:rsid w:val="00D27DF8"/>
    <w:rsid w:val="00D43F3D"/>
    <w:rsid w:val="00D60375"/>
    <w:rsid w:val="00D6715F"/>
    <w:rsid w:val="00D84DE5"/>
    <w:rsid w:val="00D90ECF"/>
    <w:rsid w:val="00D92A06"/>
    <w:rsid w:val="00DB1AB0"/>
    <w:rsid w:val="00DB477B"/>
    <w:rsid w:val="00DC53C6"/>
    <w:rsid w:val="00DD45F2"/>
    <w:rsid w:val="00DD5048"/>
    <w:rsid w:val="00DD7AC7"/>
    <w:rsid w:val="00DF712B"/>
    <w:rsid w:val="00E10853"/>
    <w:rsid w:val="00E1567D"/>
    <w:rsid w:val="00E26251"/>
    <w:rsid w:val="00E33334"/>
    <w:rsid w:val="00E37EE5"/>
    <w:rsid w:val="00E41873"/>
    <w:rsid w:val="00E42CA5"/>
    <w:rsid w:val="00E4460B"/>
    <w:rsid w:val="00E5288F"/>
    <w:rsid w:val="00E52E64"/>
    <w:rsid w:val="00E767F2"/>
    <w:rsid w:val="00EA0DC9"/>
    <w:rsid w:val="00EA15FF"/>
    <w:rsid w:val="00EA1EE8"/>
    <w:rsid w:val="00EA7B20"/>
    <w:rsid w:val="00EC277F"/>
    <w:rsid w:val="00EC49D1"/>
    <w:rsid w:val="00F00051"/>
    <w:rsid w:val="00F055CC"/>
    <w:rsid w:val="00F058D5"/>
    <w:rsid w:val="00F106BD"/>
    <w:rsid w:val="00F33B69"/>
    <w:rsid w:val="00F34C39"/>
    <w:rsid w:val="00F34DD3"/>
    <w:rsid w:val="00F34E2B"/>
    <w:rsid w:val="00F428E1"/>
    <w:rsid w:val="00F53662"/>
    <w:rsid w:val="00F651C8"/>
    <w:rsid w:val="00F728BE"/>
    <w:rsid w:val="00F83454"/>
    <w:rsid w:val="00F90AEB"/>
    <w:rsid w:val="00F97D06"/>
    <w:rsid w:val="00FB2ECA"/>
    <w:rsid w:val="00FE7FBC"/>
    <w:rsid w:val="01760DEB"/>
    <w:rsid w:val="01C1381A"/>
    <w:rsid w:val="01E27AAE"/>
    <w:rsid w:val="021E306D"/>
    <w:rsid w:val="025A4BB4"/>
    <w:rsid w:val="02C95AA2"/>
    <w:rsid w:val="02D62EBF"/>
    <w:rsid w:val="02D71334"/>
    <w:rsid w:val="02ED2721"/>
    <w:rsid w:val="034E10E5"/>
    <w:rsid w:val="035C0A3A"/>
    <w:rsid w:val="03AB5829"/>
    <w:rsid w:val="04EF409E"/>
    <w:rsid w:val="05607A03"/>
    <w:rsid w:val="058D0AAA"/>
    <w:rsid w:val="05F76C49"/>
    <w:rsid w:val="06C02D46"/>
    <w:rsid w:val="0708591D"/>
    <w:rsid w:val="071466B3"/>
    <w:rsid w:val="074D5337"/>
    <w:rsid w:val="07EC6B57"/>
    <w:rsid w:val="081A7E0E"/>
    <w:rsid w:val="081E018A"/>
    <w:rsid w:val="083D07F0"/>
    <w:rsid w:val="090A50BF"/>
    <w:rsid w:val="0A7B04A7"/>
    <w:rsid w:val="0A7F51C7"/>
    <w:rsid w:val="0A8D627D"/>
    <w:rsid w:val="0AAA398C"/>
    <w:rsid w:val="0BD07432"/>
    <w:rsid w:val="0C8661E0"/>
    <w:rsid w:val="0CC6595B"/>
    <w:rsid w:val="0CD70950"/>
    <w:rsid w:val="0D1C1BC5"/>
    <w:rsid w:val="0D2515DE"/>
    <w:rsid w:val="0D49236B"/>
    <w:rsid w:val="0D782393"/>
    <w:rsid w:val="0DC00F39"/>
    <w:rsid w:val="0DCB52A1"/>
    <w:rsid w:val="0DD01FDB"/>
    <w:rsid w:val="0F566DED"/>
    <w:rsid w:val="0FC51C9E"/>
    <w:rsid w:val="0FE144E8"/>
    <w:rsid w:val="105E3B74"/>
    <w:rsid w:val="10761BCF"/>
    <w:rsid w:val="10E03636"/>
    <w:rsid w:val="116A24C2"/>
    <w:rsid w:val="11BD7328"/>
    <w:rsid w:val="11FE2376"/>
    <w:rsid w:val="127752BE"/>
    <w:rsid w:val="12DB7D9F"/>
    <w:rsid w:val="13013D41"/>
    <w:rsid w:val="13ED3417"/>
    <w:rsid w:val="13FB046F"/>
    <w:rsid w:val="145D423B"/>
    <w:rsid w:val="14CF3773"/>
    <w:rsid w:val="14EF7F62"/>
    <w:rsid w:val="15006E8A"/>
    <w:rsid w:val="153320AA"/>
    <w:rsid w:val="155C2C83"/>
    <w:rsid w:val="157B4A8F"/>
    <w:rsid w:val="15B5671C"/>
    <w:rsid w:val="15FB7BA7"/>
    <w:rsid w:val="16AF03BA"/>
    <w:rsid w:val="172108B5"/>
    <w:rsid w:val="17A25347"/>
    <w:rsid w:val="17EC4EA2"/>
    <w:rsid w:val="18624A54"/>
    <w:rsid w:val="18855ADD"/>
    <w:rsid w:val="18A40FD9"/>
    <w:rsid w:val="18C63A15"/>
    <w:rsid w:val="18FB3ABB"/>
    <w:rsid w:val="19512B7D"/>
    <w:rsid w:val="197E7326"/>
    <w:rsid w:val="19B66BAA"/>
    <w:rsid w:val="19DA6E7D"/>
    <w:rsid w:val="1AC12B11"/>
    <w:rsid w:val="1B0B425F"/>
    <w:rsid w:val="1B2566C4"/>
    <w:rsid w:val="1B6C3693"/>
    <w:rsid w:val="1BD70854"/>
    <w:rsid w:val="1C2C4424"/>
    <w:rsid w:val="1C7F459B"/>
    <w:rsid w:val="1CA519FD"/>
    <w:rsid w:val="1CD54CE6"/>
    <w:rsid w:val="1CDB6411"/>
    <w:rsid w:val="1CDC3027"/>
    <w:rsid w:val="1D211552"/>
    <w:rsid w:val="1D724D04"/>
    <w:rsid w:val="1D800E64"/>
    <w:rsid w:val="1DCD471E"/>
    <w:rsid w:val="1DEC38DC"/>
    <w:rsid w:val="1E670351"/>
    <w:rsid w:val="1EEC1403"/>
    <w:rsid w:val="1F111512"/>
    <w:rsid w:val="1F552A4D"/>
    <w:rsid w:val="1F5C0367"/>
    <w:rsid w:val="1F8F4478"/>
    <w:rsid w:val="1FB92862"/>
    <w:rsid w:val="20302EDA"/>
    <w:rsid w:val="206228B2"/>
    <w:rsid w:val="21080F8B"/>
    <w:rsid w:val="223B53EA"/>
    <w:rsid w:val="23324414"/>
    <w:rsid w:val="23697590"/>
    <w:rsid w:val="23714B00"/>
    <w:rsid w:val="23B61DD0"/>
    <w:rsid w:val="248F33F1"/>
    <w:rsid w:val="24A26DD3"/>
    <w:rsid w:val="24A863B5"/>
    <w:rsid w:val="24B07E73"/>
    <w:rsid w:val="2549082B"/>
    <w:rsid w:val="265A5575"/>
    <w:rsid w:val="265D1C24"/>
    <w:rsid w:val="26DD385C"/>
    <w:rsid w:val="276029CF"/>
    <w:rsid w:val="27B30E10"/>
    <w:rsid w:val="27D40BB0"/>
    <w:rsid w:val="27F16E11"/>
    <w:rsid w:val="28D728F5"/>
    <w:rsid w:val="2926058E"/>
    <w:rsid w:val="29540C50"/>
    <w:rsid w:val="29CC590C"/>
    <w:rsid w:val="29EE6148"/>
    <w:rsid w:val="2A2E7487"/>
    <w:rsid w:val="2A620418"/>
    <w:rsid w:val="2A742EFB"/>
    <w:rsid w:val="2A844B6A"/>
    <w:rsid w:val="2A9D04E8"/>
    <w:rsid w:val="2AF02D1F"/>
    <w:rsid w:val="2AFA06CB"/>
    <w:rsid w:val="2B310B89"/>
    <w:rsid w:val="2B5C0D33"/>
    <w:rsid w:val="2BE96A6E"/>
    <w:rsid w:val="2C122E31"/>
    <w:rsid w:val="2C31067D"/>
    <w:rsid w:val="2C716B9A"/>
    <w:rsid w:val="2C872A6C"/>
    <w:rsid w:val="2CBA55C3"/>
    <w:rsid w:val="2D073223"/>
    <w:rsid w:val="2D191BB3"/>
    <w:rsid w:val="2DB114F7"/>
    <w:rsid w:val="2E1768D5"/>
    <w:rsid w:val="2F042403"/>
    <w:rsid w:val="2F440B7E"/>
    <w:rsid w:val="2F6B3D97"/>
    <w:rsid w:val="2F922B79"/>
    <w:rsid w:val="2FDB12D6"/>
    <w:rsid w:val="30406858"/>
    <w:rsid w:val="30456175"/>
    <w:rsid w:val="307A6D0A"/>
    <w:rsid w:val="3088513C"/>
    <w:rsid w:val="30DB7345"/>
    <w:rsid w:val="314D4D71"/>
    <w:rsid w:val="319443F4"/>
    <w:rsid w:val="31DC06A5"/>
    <w:rsid w:val="31E61055"/>
    <w:rsid w:val="320E5AE3"/>
    <w:rsid w:val="3248751A"/>
    <w:rsid w:val="3256348E"/>
    <w:rsid w:val="328B060D"/>
    <w:rsid w:val="338B4FAA"/>
    <w:rsid w:val="33F41A99"/>
    <w:rsid w:val="3422048B"/>
    <w:rsid w:val="34566D3C"/>
    <w:rsid w:val="349857E3"/>
    <w:rsid w:val="34BE5E5A"/>
    <w:rsid w:val="352821D0"/>
    <w:rsid w:val="359207AA"/>
    <w:rsid w:val="36041ED6"/>
    <w:rsid w:val="364A3267"/>
    <w:rsid w:val="365016CC"/>
    <w:rsid w:val="36635C5B"/>
    <w:rsid w:val="36772279"/>
    <w:rsid w:val="36C739BA"/>
    <w:rsid w:val="36CB2829"/>
    <w:rsid w:val="370F315F"/>
    <w:rsid w:val="37131F2C"/>
    <w:rsid w:val="37B80508"/>
    <w:rsid w:val="38821F74"/>
    <w:rsid w:val="38D123AB"/>
    <w:rsid w:val="39987B37"/>
    <w:rsid w:val="39BB194E"/>
    <w:rsid w:val="39DE6828"/>
    <w:rsid w:val="3A0219EA"/>
    <w:rsid w:val="3AA35A9D"/>
    <w:rsid w:val="3AC520C7"/>
    <w:rsid w:val="3ACF5B21"/>
    <w:rsid w:val="3B0A7F94"/>
    <w:rsid w:val="3BB10730"/>
    <w:rsid w:val="3C074A00"/>
    <w:rsid w:val="3C401F33"/>
    <w:rsid w:val="3CF64269"/>
    <w:rsid w:val="3D155C61"/>
    <w:rsid w:val="3DA44212"/>
    <w:rsid w:val="3EA13331"/>
    <w:rsid w:val="3ED06ABE"/>
    <w:rsid w:val="3EE002FD"/>
    <w:rsid w:val="3F3C78B5"/>
    <w:rsid w:val="3FA61844"/>
    <w:rsid w:val="3FC03FA4"/>
    <w:rsid w:val="4006103B"/>
    <w:rsid w:val="40296AF8"/>
    <w:rsid w:val="404A32BB"/>
    <w:rsid w:val="40794E8E"/>
    <w:rsid w:val="40953369"/>
    <w:rsid w:val="41273B47"/>
    <w:rsid w:val="41656AEF"/>
    <w:rsid w:val="41881A54"/>
    <w:rsid w:val="41C94A33"/>
    <w:rsid w:val="42A05257"/>
    <w:rsid w:val="42D71A17"/>
    <w:rsid w:val="42F42F96"/>
    <w:rsid w:val="430D7208"/>
    <w:rsid w:val="434067C1"/>
    <w:rsid w:val="43894BE3"/>
    <w:rsid w:val="43D96BD5"/>
    <w:rsid w:val="4584118C"/>
    <w:rsid w:val="464A2500"/>
    <w:rsid w:val="464A534D"/>
    <w:rsid w:val="46C71EEE"/>
    <w:rsid w:val="470154F9"/>
    <w:rsid w:val="471F58EB"/>
    <w:rsid w:val="47FD771B"/>
    <w:rsid w:val="483533CB"/>
    <w:rsid w:val="4841003D"/>
    <w:rsid w:val="48873598"/>
    <w:rsid w:val="48BD6383"/>
    <w:rsid w:val="48F7693B"/>
    <w:rsid w:val="494F6998"/>
    <w:rsid w:val="496D46AA"/>
    <w:rsid w:val="4A56447D"/>
    <w:rsid w:val="4B2972FA"/>
    <w:rsid w:val="4B8633B8"/>
    <w:rsid w:val="4B9336BF"/>
    <w:rsid w:val="4BA61483"/>
    <w:rsid w:val="4BF058F8"/>
    <w:rsid w:val="4C256953"/>
    <w:rsid w:val="4C7C510F"/>
    <w:rsid w:val="4C9E4AB2"/>
    <w:rsid w:val="4CB4355D"/>
    <w:rsid w:val="4CFF7F0F"/>
    <w:rsid w:val="4D706E55"/>
    <w:rsid w:val="4D775994"/>
    <w:rsid w:val="4DB8486F"/>
    <w:rsid w:val="4E817648"/>
    <w:rsid w:val="4EA73A95"/>
    <w:rsid w:val="4F446D9D"/>
    <w:rsid w:val="4F4628B7"/>
    <w:rsid w:val="4F504DE9"/>
    <w:rsid w:val="4F6277D3"/>
    <w:rsid w:val="4F981181"/>
    <w:rsid w:val="4F985E12"/>
    <w:rsid w:val="4FBE3F1E"/>
    <w:rsid w:val="5020428B"/>
    <w:rsid w:val="50A545DB"/>
    <w:rsid w:val="50C90228"/>
    <w:rsid w:val="50FD6EDE"/>
    <w:rsid w:val="513B5867"/>
    <w:rsid w:val="5149325D"/>
    <w:rsid w:val="5154737C"/>
    <w:rsid w:val="517071D9"/>
    <w:rsid w:val="51736BB7"/>
    <w:rsid w:val="51760170"/>
    <w:rsid w:val="518F749C"/>
    <w:rsid w:val="51A46E2D"/>
    <w:rsid w:val="51EA0C81"/>
    <w:rsid w:val="52163F05"/>
    <w:rsid w:val="527458E8"/>
    <w:rsid w:val="53504128"/>
    <w:rsid w:val="538B4554"/>
    <w:rsid w:val="544B4C44"/>
    <w:rsid w:val="547A1E6B"/>
    <w:rsid w:val="54A84130"/>
    <w:rsid w:val="54CC052E"/>
    <w:rsid w:val="552C6E84"/>
    <w:rsid w:val="562C624C"/>
    <w:rsid w:val="56417592"/>
    <w:rsid w:val="566F4305"/>
    <w:rsid w:val="568554EB"/>
    <w:rsid w:val="568D20C3"/>
    <w:rsid w:val="56BE0ACC"/>
    <w:rsid w:val="57BA277F"/>
    <w:rsid w:val="58BC4D55"/>
    <w:rsid w:val="59536686"/>
    <w:rsid w:val="59807A9B"/>
    <w:rsid w:val="5A0857CF"/>
    <w:rsid w:val="5A380B96"/>
    <w:rsid w:val="5A570B12"/>
    <w:rsid w:val="5B132159"/>
    <w:rsid w:val="5B1C7B22"/>
    <w:rsid w:val="5B355724"/>
    <w:rsid w:val="5B9417F2"/>
    <w:rsid w:val="5BBC1C72"/>
    <w:rsid w:val="5BC82FEB"/>
    <w:rsid w:val="5C0304F7"/>
    <w:rsid w:val="5C207014"/>
    <w:rsid w:val="5C605C82"/>
    <w:rsid w:val="5C69351D"/>
    <w:rsid w:val="5C7B1A0A"/>
    <w:rsid w:val="5CB02EAA"/>
    <w:rsid w:val="5D0F4CF2"/>
    <w:rsid w:val="5D4428C3"/>
    <w:rsid w:val="5DB81F10"/>
    <w:rsid w:val="5DC555E7"/>
    <w:rsid w:val="5DE03065"/>
    <w:rsid w:val="5E355C41"/>
    <w:rsid w:val="5EA26F25"/>
    <w:rsid w:val="5F252F51"/>
    <w:rsid w:val="5F831415"/>
    <w:rsid w:val="5F8959EF"/>
    <w:rsid w:val="602C7D7B"/>
    <w:rsid w:val="60CD4B10"/>
    <w:rsid w:val="60D21880"/>
    <w:rsid w:val="60D86C2E"/>
    <w:rsid w:val="6117616E"/>
    <w:rsid w:val="6166544F"/>
    <w:rsid w:val="618341C5"/>
    <w:rsid w:val="61874133"/>
    <w:rsid w:val="62005674"/>
    <w:rsid w:val="62172CA1"/>
    <w:rsid w:val="62FB035F"/>
    <w:rsid w:val="63117482"/>
    <w:rsid w:val="640C55D8"/>
    <w:rsid w:val="64242B73"/>
    <w:rsid w:val="64A52436"/>
    <w:rsid w:val="65140298"/>
    <w:rsid w:val="65152445"/>
    <w:rsid w:val="6536145F"/>
    <w:rsid w:val="65A6554D"/>
    <w:rsid w:val="65BD63F3"/>
    <w:rsid w:val="65C23461"/>
    <w:rsid w:val="66C9448E"/>
    <w:rsid w:val="670C3F14"/>
    <w:rsid w:val="676F19C3"/>
    <w:rsid w:val="68663EDD"/>
    <w:rsid w:val="68DC7382"/>
    <w:rsid w:val="68EF7BE3"/>
    <w:rsid w:val="69764D01"/>
    <w:rsid w:val="6A8D52EB"/>
    <w:rsid w:val="6B49789A"/>
    <w:rsid w:val="6B606A82"/>
    <w:rsid w:val="6B7B454B"/>
    <w:rsid w:val="6B8F22D3"/>
    <w:rsid w:val="6C040BA3"/>
    <w:rsid w:val="6C0D76BF"/>
    <w:rsid w:val="6CA35557"/>
    <w:rsid w:val="6CD7423E"/>
    <w:rsid w:val="6D474A8C"/>
    <w:rsid w:val="6DA305C4"/>
    <w:rsid w:val="6DF144D3"/>
    <w:rsid w:val="6E2A0EBC"/>
    <w:rsid w:val="6EAE0FCF"/>
    <w:rsid w:val="6EAF13B0"/>
    <w:rsid w:val="6ED324BB"/>
    <w:rsid w:val="6F13544B"/>
    <w:rsid w:val="6F235519"/>
    <w:rsid w:val="6F401AA2"/>
    <w:rsid w:val="6FDC7985"/>
    <w:rsid w:val="70901D61"/>
    <w:rsid w:val="70A231AE"/>
    <w:rsid w:val="70D73BE2"/>
    <w:rsid w:val="70E339D8"/>
    <w:rsid w:val="71061E72"/>
    <w:rsid w:val="71467FFD"/>
    <w:rsid w:val="716A4F70"/>
    <w:rsid w:val="719F449E"/>
    <w:rsid w:val="71BE5738"/>
    <w:rsid w:val="72670489"/>
    <w:rsid w:val="72D74F98"/>
    <w:rsid w:val="73326E2D"/>
    <w:rsid w:val="7447118B"/>
    <w:rsid w:val="74610512"/>
    <w:rsid w:val="74F33758"/>
    <w:rsid w:val="751C328B"/>
    <w:rsid w:val="751E70F0"/>
    <w:rsid w:val="755C1784"/>
    <w:rsid w:val="758123D8"/>
    <w:rsid w:val="758151F2"/>
    <w:rsid w:val="759667EF"/>
    <w:rsid w:val="75D7267B"/>
    <w:rsid w:val="76662B05"/>
    <w:rsid w:val="76850AE5"/>
    <w:rsid w:val="76C26935"/>
    <w:rsid w:val="77455A44"/>
    <w:rsid w:val="77A21620"/>
    <w:rsid w:val="77B157E6"/>
    <w:rsid w:val="784D0A71"/>
    <w:rsid w:val="78DE75EA"/>
    <w:rsid w:val="790C1934"/>
    <w:rsid w:val="7953510C"/>
    <w:rsid w:val="796C3391"/>
    <w:rsid w:val="797A4635"/>
    <w:rsid w:val="79B44C60"/>
    <w:rsid w:val="7A3B2499"/>
    <w:rsid w:val="7A4C310F"/>
    <w:rsid w:val="7A741597"/>
    <w:rsid w:val="7A9750CC"/>
    <w:rsid w:val="7AA02320"/>
    <w:rsid w:val="7B276391"/>
    <w:rsid w:val="7BED3882"/>
    <w:rsid w:val="7C330981"/>
    <w:rsid w:val="7C6929D9"/>
    <w:rsid w:val="7D233A3E"/>
    <w:rsid w:val="7D3A16E9"/>
    <w:rsid w:val="7DA54AED"/>
    <w:rsid w:val="7E162D9E"/>
    <w:rsid w:val="7E184A36"/>
    <w:rsid w:val="7E2D390B"/>
    <w:rsid w:val="7E5170C9"/>
    <w:rsid w:val="7E7A2C7B"/>
    <w:rsid w:val="7EC27672"/>
    <w:rsid w:val="7EC8692D"/>
    <w:rsid w:val="7ECE3138"/>
    <w:rsid w:val="7EE76221"/>
    <w:rsid w:val="7EF24F07"/>
    <w:rsid w:val="7EF36524"/>
    <w:rsid w:val="7EFE04E6"/>
    <w:rsid w:val="7F3A5E08"/>
    <w:rsid w:val="7F432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kern w:val="0"/>
      <w:sz w:val="52"/>
      <w:szCs w:val="52"/>
    </w:rPr>
  </w:style>
  <w:style w:type="paragraph" w:styleId="3">
    <w:name w:val="annotation text"/>
    <w:basedOn w:val="1"/>
    <w:link w:val="14"/>
    <w:unhideWhenUsed/>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5"/>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9"/>
    <w:link w:val="3"/>
    <w:qFormat/>
    <w:uiPriority w:val="99"/>
    <w:rPr>
      <w:rFonts w:asciiTheme="minorHAnsi" w:hAnsiTheme="minorHAnsi" w:eastAsiaTheme="minorEastAsia" w:cstheme="minorBidi"/>
      <w:kern w:val="2"/>
      <w:sz w:val="21"/>
      <w:szCs w:val="22"/>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9107</Words>
  <Characters>9373</Characters>
  <Lines>72</Lines>
  <Paragraphs>20</Paragraphs>
  <TotalTime>4</TotalTime>
  <ScaleCrop>false</ScaleCrop>
  <LinksUpToDate>false</LinksUpToDate>
  <CharactersWithSpaces>9560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2023-03-14T00:35:00Z</dcterms:created>
  <dc:creator>Tencent</dc:creator>
  <cp:lastModifiedBy>谢谢柠嘞</cp:lastModifiedBy>
  <cp:lastPrinted>2023-04-18T02:03:00Z</cp:lastPrinted>
  <dcterms:modified xsi:type="dcterms:W3CDTF">2024-09-18T10:48:22Z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0EA2E351900B4A1B80D5F79EE7BD80D0_13</vt:lpwstr>
  </property>
</Properties>
</file>